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5D" w:rsidRPr="005C005D" w:rsidRDefault="007B05E4" w:rsidP="005C005D">
      <w:pPr>
        <w:rPr>
          <w:b/>
        </w:rPr>
      </w:pPr>
      <w:r>
        <w:rPr>
          <w:rStyle w:val="Strong"/>
        </w:rPr>
        <w:t>DRAFT-</w:t>
      </w:r>
      <w:r w:rsidR="00232516" w:rsidRPr="00840917">
        <w:rPr>
          <w:rStyle w:val="Strong"/>
        </w:rPr>
        <w:t xml:space="preserve">Minutes of the </w:t>
      </w:r>
      <w:r w:rsidR="005C005D" w:rsidRPr="005C005D">
        <w:rPr>
          <w:b/>
        </w:rPr>
        <w:t>Marine Strategy Navigation Group (MSFD NAVI) 12</w:t>
      </w:r>
      <w:r w:rsidR="005C005D" w:rsidRPr="005C005D">
        <w:rPr>
          <w:b/>
          <w:vertAlign w:val="superscript"/>
        </w:rPr>
        <w:t>th</w:t>
      </w:r>
      <w:r w:rsidR="005C005D" w:rsidRPr="005C005D">
        <w:rPr>
          <w:b/>
        </w:rPr>
        <w:t xml:space="preserve"> meeting: 1 April 2014, 09:30 – 12:30 PIANC offices, Brussels</w:t>
      </w:r>
    </w:p>
    <w:p w:rsidR="00232516" w:rsidRPr="00840917" w:rsidRDefault="00232516" w:rsidP="00232516">
      <w:pPr>
        <w:rPr>
          <w:rStyle w:val="Strong"/>
        </w:rPr>
      </w:pPr>
    </w:p>
    <w:p w:rsidR="00CC4309" w:rsidRDefault="00CC4309" w:rsidP="00652581">
      <w:pPr>
        <w:pStyle w:val="NoSpacing"/>
        <w:rPr>
          <w:b/>
        </w:rPr>
        <w:sectPr w:rsidR="00CC4309">
          <w:headerReference w:type="default" r:id="rId8"/>
          <w:pgSz w:w="12240" w:h="15840"/>
          <w:pgMar w:top="1440" w:right="1440" w:bottom="1440" w:left="1440" w:header="720" w:footer="720" w:gutter="0"/>
          <w:cols w:space="720"/>
          <w:noEndnote/>
        </w:sectPr>
      </w:pPr>
    </w:p>
    <w:p w:rsidR="007C6744" w:rsidRPr="007C6744" w:rsidRDefault="007C6744" w:rsidP="00652581">
      <w:pPr>
        <w:pStyle w:val="NoSpacing"/>
        <w:rPr>
          <w:b/>
        </w:rPr>
      </w:pPr>
      <w:r w:rsidRPr="007C6744">
        <w:rPr>
          <w:b/>
        </w:rPr>
        <w:lastRenderedPageBreak/>
        <w:t>Present</w:t>
      </w:r>
    </w:p>
    <w:p w:rsidR="00652581" w:rsidRPr="005C005D" w:rsidRDefault="005C005D" w:rsidP="00652581">
      <w:pPr>
        <w:pStyle w:val="NoSpacing"/>
      </w:pPr>
      <w:r w:rsidRPr="005C005D">
        <w:t xml:space="preserve">Jan </w:t>
      </w:r>
      <w:proofErr w:type="gramStart"/>
      <w:r w:rsidRPr="005C005D">
        <w:t>Brooke ,</w:t>
      </w:r>
      <w:proofErr w:type="gramEnd"/>
      <w:r w:rsidRPr="005C005D">
        <w:t xml:space="preserve"> WFDTG - JB</w:t>
      </w:r>
    </w:p>
    <w:p w:rsidR="005C005D" w:rsidRDefault="005C005D" w:rsidP="005C005D">
      <w:pPr>
        <w:pStyle w:val="NoSpacing"/>
      </w:pPr>
      <w:r>
        <w:t>Anna Csiti, CEDA – AC (minutes)</w:t>
      </w:r>
    </w:p>
    <w:p w:rsidR="005C005D" w:rsidRDefault="005C005D" w:rsidP="00652581">
      <w:pPr>
        <w:pStyle w:val="NoSpacing"/>
        <w:rPr>
          <w:lang w:val="nl-NL"/>
        </w:rPr>
      </w:pPr>
      <w:r>
        <w:rPr>
          <w:lang w:val="nl-NL"/>
        </w:rPr>
        <w:t>Marc Eisma, ESPO - ME</w:t>
      </w:r>
    </w:p>
    <w:p w:rsidR="005C005D" w:rsidRDefault="005C005D" w:rsidP="00652581">
      <w:pPr>
        <w:pStyle w:val="NoSpacing"/>
        <w:rPr>
          <w:lang w:val="nl-NL"/>
        </w:rPr>
      </w:pPr>
    </w:p>
    <w:p w:rsidR="005C005D" w:rsidRDefault="005C005D" w:rsidP="005C005D">
      <w:pPr>
        <w:pStyle w:val="NoSpacing"/>
        <w:rPr>
          <w:lang w:val="nl-NL"/>
        </w:rPr>
      </w:pPr>
      <w:r>
        <w:rPr>
          <w:lang w:val="nl-NL"/>
        </w:rPr>
        <w:t>Noemi von Meijenfeldt, CEDA – NvM (chair)</w:t>
      </w:r>
    </w:p>
    <w:p w:rsidR="005C005D" w:rsidRPr="005C005D" w:rsidRDefault="005C005D" w:rsidP="00652581">
      <w:pPr>
        <w:pStyle w:val="NoSpacing"/>
        <w:rPr>
          <w:lang w:val="nl-NL"/>
        </w:rPr>
      </w:pPr>
      <w:r w:rsidRPr="005C005D">
        <w:rPr>
          <w:lang w:val="nl-NL"/>
        </w:rPr>
        <w:t>Henrich Roeper, CEDA - HR</w:t>
      </w:r>
    </w:p>
    <w:p w:rsidR="005C005D" w:rsidRPr="00A758DD" w:rsidRDefault="005C005D" w:rsidP="00652581">
      <w:pPr>
        <w:pStyle w:val="NoSpacing"/>
        <w:rPr>
          <w:lang w:val="en-GB"/>
        </w:rPr>
      </w:pPr>
      <w:r w:rsidRPr="00A758DD">
        <w:rPr>
          <w:lang w:val="en-GB"/>
        </w:rPr>
        <w:t xml:space="preserve">Paris Sansoglou, </w:t>
      </w:r>
      <w:proofErr w:type="spellStart"/>
      <w:r w:rsidRPr="00A758DD">
        <w:rPr>
          <w:lang w:val="en-GB"/>
        </w:rPr>
        <w:t>EuDA</w:t>
      </w:r>
      <w:proofErr w:type="spellEnd"/>
      <w:r w:rsidRPr="00A758DD">
        <w:rPr>
          <w:lang w:val="en-GB"/>
        </w:rPr>
        <w:t xml:space="preserve"> - PS</w:t>
      </w:r>
    </w:p>
    <w:p w:rsidR="00CC4309" w:rsidRDefault="00CC4309" w:rsidP="00652581">
      <w:pPr>
        <w:pStyle w:val="NoSpacing"/>
        <w:rPr>
          <w:lang w:val="en-GB"/>
        </w:rPr>
        <w:sectPr w:rsidR="00CC4309" w:rsidSect="00CC4309">
          <w:type w:val="continuous"/>
          <w:pgSz w:w="12240" w:h="15840"/>
          <w:pgMar w:top="1440" w:right="1440" w:bottom="1440" w:left="1440" w:header="720" w:footer="720" w:gutter="0"/>
          <w:cols w:num="2" w:space="720"/>
          <w:noEndnote/>
        </w:sectPr>
      </w:pPr>
    </w:p>
    <w:p w:rsidR="00652581" w:rsidRPr="00A758DD" w:rsidRDefault="00652581" w:rsidP="00652581">
      <w:pPr>
        <w:pStyle w:val="NoSpacing"/>
        <w:rPr>
          <w:lang w:val="en-GB"/>
        </w:rPr>
      </w:pPr>
    </w:p>
    <w:p w:rsidR="00CC4309" w:rsidRPr="00CC4309" w:rsidRDefault="00652581" w:rsidP="00CC4309">
      <w:pPr>
        <w:pStyle w:val="NoSpacing"/>
        <w:rPr>
          <w:b/>
          <w:lang w:val="en-GB"/>
        </w:rPr>
      </w:pPr>
      <w:r w:rsidRPr="00A758DD">
        <w:rPr>
          <w:b/>
          <w:lang w:val="en-GB"/>
        </w:rPr>
        <w:t>Apologies</w:t>
      </w:r>
    </w:p>
    <w:p w:rsidR="005C005D" w:rsidRPr="005C005D" w:rsidRDefault="005C005D" w:rsidP="00652581">
      <w:pPr>
        <w:pStyle w:val="NoSpacing"/>
      </w:pPr>
      <w:proofErr w:type="spellStart"/>
      <w:r w:rsidRPr="005C005D">
        <w:t>Mirna</w:t>
      </w:r>
      <w:proofErr w:type="spellEnd"/>
      <w:r w:rsidRPr="005C005D">
        <w:t xml:space="preserve"> </w:t>
      </w:r>
      <w:proofErr w:type="spellStart"/>
      <w:r w:rsidRPr="005C005D">
        <w:t>Cieniewicz</w:t>
      </w:r>
      <w:proofErr w:type="spellEnd"/>
      <w:r w:rsidRPr="005C005D">
        <w:t>, European Boating Industry - MC</w:t>
      </w:r>
    </w:p>
    <w:p w:rsidR="005C005D" w:rsidRDefault="00A849D1" w:rsidP="00652581">
      <w:pPr>
        <w:pStyle w:val="NoSpacing"/>
      </w:pPr>
      <w:r>
        <w:t xml:space="preserve">Kate Chapman for </w:t>
      </w:r>
      <w:r w:rsidR="005C005D">
        <w:t xml:space="preserve">Caroline Price, European Boating Association - </w:t>
      </w:r>
      <w:r>
        <w:t>KC</w:t>
      </w:r>
    </w:p>
    <w:p w:rsidR="00FD5F54" w:rsidRDefault="005C005D" w:rsidP="00652581">
      <w:pPr>
        <w:pStyle w:val="NoSpacing"/>
      </w:pPr>
      <w:r w:rsidRPr="005C005D">
        <w:t xml:space="preserve">Albert </w:t>
      </w:r>
      <w:proofErr w:type="spellStart"/>
      <w:r w:rsidRPr="005C005D">
        <w:t>Willemsen</w:t>
      </w:r>
      <w:proofErr w:type="spellEnd"/>
      <w:r w:rsidRPr="005C005D">
        <w:t xml:space="preserve">, ICOMIA </w:t>
      </w:r>
      <w:r>
        <w:t>–</w:t>
      </w:r>
      <w:r w:rsidRPr="005C005D">
        <w:t xml:space="preserve"> AW</w:t>
      </w:r>
    </w:p>
    <w:p w:rsidR="00CC4309" w:rsidRDefault="00CC4309" w:rsidP="00652581">
      <w:pPr>
        <w:pStyle w:val="NoSpacing"/>
        <w:sectPr w:rsidR="00CC4309" w:rsidSect="00CC4309">
          <w:type w:val="continuous"/>
          <w:pgSz w:w="12240" w:h="15840"/>
          <w:pgMar w:top="1440" w:right="1440" w:bottom="1440" w:left="1440" w:header="720" w:footer="720" w:gutter="0"/>
          <w:cols w:space="720"/>
          <w:noEndnote/>
        </w:sectPr>
      </w:pPr>
    </w:p>
    <w:p w:rsidR="00232516" w:rsidRPr="00A758DD" w:rsidRDefault="00232516" w:rsidP="00652581">
      <w:pPr>
        <w:pStyle w:val="NoSpacing"/>
        <w:rPr>
          <w:lang w:val="en-GB"/>
        </w:rPr>
      </w:pPr>
    </w:p>
    <w:p w:rsidR="00CC4309" w:rsidRDefault="005C005D" w:rsidP="00652581">
      <w:pPr>
        <w:pStyle w:val="NoSpacing"/>
        <w:sectPr w:rsidR="00CC4309" w:rsidSect="00CC4309">
          <w:type w:val="continuous"/>
          <w:pgSz w:w="12240" w:h="15840"/>
          <w:pgMar w:top="1440" w:right="1440" w:bottom="1440" w:left="1440" w:header="720" w:footer="720" w:gutter="0"/>
          <w:cols w:space="720"/>
          <w:noEndnote/>
        </w:sectPr>
      </w:pPr>
      <w:r w:rsidRPr="00A758DD">
        <w:rPr>
          <w:b/>
          <w:lang w:val="en-GB"/>
        </w:rPr>
        <w:t>Corresponding members</w:t>
      </w:r>
      <w:r w:rsidR="00CC4309">
        <w:rPr>
          <w:b/>
          <w:lang w:val="en-GB"/>
        </w:rPr>
        <w:br/>
      </w:r>
    </w:p>
    <w:p w:rsidR="005C005D" w:rsidRPr="00483ED7" w:rsidRDefault="005C005D" w:rsidP="00652581">
      <w:pPr>
        <w:pStyle w:val="NoSpacing"/>
      </w:pPr>
      <w:r w:rsidRPr="00483ED7">
        <w:lastRenderedPageBreak/>
        <w:t xml:space="preserve">James Herbert, ISU </w:t>
      </w:r>
      <w:r w:rsidR="00483ED7" w:rsidRPr="00483ED7">
        <w:t>–</w:t>
      </w:r>
      <w:r w:rsidRPr="00483ED7">
        <w:t xml:space="preserve"> JH</w:t>
      </w:r>
    </w:p>
    <w:p w:rsidR="00483ED7" w:rsidRPr="00483ED7" w:rsidRDefault="00483ED7" w:rsidP="00652581">
      <w:pPr>
        <w:pStyle w:val="NoSpacing"/>
      </w:pPr>
      <w:r w:rsidRPr="00483ED7">
        <w:t xml:space="preserve">Benoit </w:t>
      </w:r>
      <w:proofErr w:type="spellStart"/>
      <w:r w:rsidRPr="00483ED7">
        <w:t>Loicq</w:t>
      </w:r>
      <w:proofErr w:type="spellEnd"/>
      <w:r w:rsidRPr="00483ED7">
        <w:t>, ECSA – BL</w:t>
      </w:r>
    </w:p>
    <w:p w:rsidR="00483ED7" w:rsidRPr="00483ED7" w:rsidRDefault="00483ED7" w:rsidP="00652581">
      <w:pPr>
        <w:pStyle w:val="NoSpacing"/>
      </w:pPr>
      <w:proofErr w:type="spellStart"/>
      <w:r w:rsidRPr="00483ED7">
        <w:lastRenderedPageBreak/>
        <w:t>Antonis</w:t>
      </w:r>
      <w:proofErr w:type="spellEnd"/>
      <w:r w:rsidRPr="00483ED7">
        <w:t xml:space="preserve"> </w:t>
      </w:r>
      <w:proofErr w:type="spellStart"/>
      <w:r w:rsidRPr="00483ED7">
        <w:t>Michail</w:t>
      </w:r>
      <w:proofErr w:type="spellEnd"/>
      <w:r w:rsidRPr="00483ED7">
        <w:t>, ESPO – AM</w:t>
      </w:r>
    </w:p>
    <w:p w:rsidR="00CC4309" w:rsidRDefault="00483ED7" w:rsidP="00652581">
      <w:pPr>
        <w:pStyle w:val="NoSpacing"/>
        <w:sectPr w:rsidR="00CC4309" w:rsidSect="00CC4309">
          <w:type w:val="continuous"/>
          <w:pgSz w:w="12240" w:h="15840"/>
          <w:pgMar w:top="1440" w:right="1440" w:bottom="1440" w:left="1440" w:header="720" w:footer="720" w:gutter="0"/>
          <w:cols w:num="2" w:space="720"/>
          <w:noEndnote/>
        </w:sectPr>
      </w:pPr>
      <w:r>
        <w:t>Lola Ortiz Sanchez – LOS</w:t>
      </w:r>
    </w:p>
    <w:p w:rsidR="00CC4309" w:rsidRDefault="00CC4309" w:rsidP="00652581">
      <w:pPr>
        <w:pStyle w:val="NoSpacing"/>
        <w:sectPr w:rsidR="00CC4309" w:rsidSect="00CC4309">
          <w:type w:val="continuous"/>
          <w:pgSz w:w="12240" w:h="15840"/>
          <w:pgMar w:top="1440" w:right="1440" w:bottom="1440" w:left="1440" w:header="720" w:footer="720" w:gutter="0"/>
          <w:cols w:space="720"/>
          <w:noEndnote/>
        </w:sectPr>
      </w:pPr>
    </w:p>
    <w:p w:rsidR="00483ED7" w:rsidRDefault="00483ED7" w:rsidP="00652581">
      <w:pPr>
        <w:pStyle w:val="NoSpacing"/>
      </w:pPr>
    </w:p>
    <w:p w:rsidR="00CC4309" w:rsidRDefault="00CC4309" w:rsidP="00652581">
      <w:pPr>
        <w:pStyle w:val="NoSpacing"/>
      </w:pPr>
      <w:r>
        <w:t>Note: For reasons of convenience, information provided by the chair in the Extended Agenda is copied into these minutes (print in italic).</w:t>
      </w:r>
    </w:p>
    <w:p w:rsidR="00483ED7" w:rsidRPr="00483ED7" w:rsidRDefault="00CC4309" w:rsidP="00652581">
      <w:pPr>
        <w:pStyle w:val="NoSpacing"/>
      </w:pPr>
      <w:r>
        <w:t xml:space="preserve"> </w:t>
      </w:r>
    </w:p>
    <w:tbl>
      <w:tblPr>
        <w:tblStyle w:val="TableGrid"/>
        <w:tblW w:w="0" w:type="auto"/>
        <w:tblLook w:val="04A0" w:firstRow="1" w:lastRow="0" w:firstColumn="1" w:lastColumn="0" w:noHBand="0" w:noVBand="1"/>
      </w:tblPr>
      <w:tblGrid>
        <w:gridCol w:w="8504"/>
        <w:gridCol w:w="1072"/>
      </w:tblGrid>
      <w:tr w:rsidR="00B321D5" w:rsidTr="00DF524C">
        <w:tc>
          <w:tcPr>
            <w:tcW w:w="8504" w:type="dxa"/>
          </w:tcPr>
          <w:p w:rsidR="00B321D5" w:rsidRPr="00E83100" w:rsidRDefault="00E83100" w:rsidP="00780492">
            <w:pPr>
              <w:pStyle w:val="Heading1"/>
              <w:outlineLvl w:val="0"/>
            </w:pPr>
            <w:proofErr w:type="gramStart"/>
            <w:r w:rsidRPr="00E83100">
              <w:t>1  Opening</w:t>
            </w:r>
            <w:proofErr w:type="gramEnd"/>
            <w:r>
              <w:t>, apologies</w:t>
            </w:r>
          </w:p>
        </w:tc>
        <w:tc>
          <w:tcPr>
            <w:tcW w:w="1072" w:type="dxa"/>
          </w:tcPr>
          <w:p w:rsidR="00B321D5" w:rsidRDefault="00B321D5" w:rsidP="00232516"/>
        </w:tc>
      </w:tr>
      <w:tr w:rsidR="00B321D5" w:rsidTr="00DF524C">
        <w:tc>
          <w:tcPr>
            <w:tcW w:w="8504" w:type="dxa"/>
          </w:tcPr>
          <w:p w:rsidR="00B321D5" w:rsidRDefault="00B321D5" w:rsidP="00232516"/>
          <w:p w:rsidR="00F92EB4" w:rsidRDefault="00F92EB4" w:rsidP="00780492">
            <w:r>
              <w:t xml:space="preserve">The Chair </w:t>
            </w:r>
            <w:proofErr w:type="spellStart"/>
            <w:r w:rsidR="00780492">
              <w:t>NvM</w:t>
            </w:r>
            <w:proofErr w:type="spellEnd"/>
            <w:r w:rsidR="00780492">
              <w:t xml:space="preserve"> opened the meeting. </w:t>
            </w:r>
            <w:r w:rsidR="00421766">
              <w:t xml:space="preserve">Apologies were received as listed. </w:t>
            </w:r>
          </w:p>
        </w:tc>
        <w:tc>
          <w:tcPr>
            <w:tcW w:w="1072" w:type="dxa"/>
          </w:tcPr>
          <w:p w:rsidR="00B321D5" w:rsidRDefault="00B321D5" w:rsidP="00232516"/>
        </w:tc>
      </w:tr>
      <w:tr w:rsidR="00B321D5" w:rsidTr="00DF524C">
        <w:tc>
          <w:tcPr>
            <w:tcW w:w="8504" w:type="dxa"/>
          </w:tcPr>
          <w:p w:rsidR="00B321D5" w:rsidRDefault="00E83100" w:rsidP="00780492">
            <w:pPr>
              <w:pStyle w:val="Heading1"/>
              <w:outlineLvl w:val="0"/>
            </w:pPr>
            <w:proofErr w:type="gramStart"/>
            <w:r>
              <w:t xml:space="preserve">2  </w:t>
            </w:r>
            <w:r w:rsidR="00780492">
              <w:t>Adoption</w:t>
            </w:r>
            <w:proofErr w:type="gramEnd"/>
            <w:r w:rsidR="00780492">
              <w:t xml:space="preserve"> of the Agenda</w:t>
            </w:r>
          </w:p>
        </w:tc>
        <w:tc>
          <w:tcPr>
            <w:tcW w:w="1072" w:type="dxa"/>
          </w:tcPr>
          <w:p w:rsidR="00B321D5" w:rsidRDefault="00B321D5" w:rsidP="00232516"/>
        </w:tc>
      </w:tr>
      <w:tr w:rsidR="00B321D5" w:rsidTr="00DF524C">
        <w:tc>
          <w:tcPr>
            <w:tcW w:w="8504" w:type="dxa"/>
          </w:tcPr>
          <w:p w:rsidR="00B321D5" w:rsidRDefault="00B321D5" w:rsidP="00232516"/>
          <w:p w:rsidR="00421766" w:rsidRDefault="00421766" w:rsidP="0024128E">
            <w:r>
              <w:t>The agenda was adopted without changes</w:t>
            </w:r>
            <w:r w:rsidR="00780492">
              <w:t>.</w:t>
            </w:r>
            <w:r w:rsidR="002728FE">
              <w:t xml:space="preserve"> NAVI has expressed thanks to the chair for the extended agenda making the preparation for the meeting much more efficient.</w:t>
            </w:r>
            <w:r w:rsidR="0024128E">
              <w:t xml:space="preserve"> For convenience these minutes include the background information provided in the extended agenda for each item, printed in italic.</w:t>
            </w:r>
          </w:p>
        </w:tc>
        <w:tc>
          <w:tcPr>
            <w:tcW w:w="1072" w:type="dxa"/>
          </w:tcPr>
          <w:p w:rsidR="00B321D5" w:rsidRDefault="00B321D5" w:rsidP="00232516"/>
        </w:tc>
      </w:tr>
      <w:tr w:rsidR="00B321D5" w:rsidTr="00DF524C">
        <w:tc>
          <w:tcPr>
            <w:tcW w:w="8504" w:type="dxa"/>
          </w:tcPr>
          <w:p w:rsidR="00B321D5" w:rsidRDefault="00CC59B1" w:rsidP="00CC59B1">
            <w:pPr>
              <w:pStyle w:val="Heading1"/>
              <w:outlineLvl w:val="0"/>
            </w:pPr>
            <w:r>
              <w:t>3</w:t>
            </w:r>
            <w:r w:rsidR="00674D90">
              <w:tab/>
            </w:r>
            <w:r w:rsidR="00E83100" w:rsidRPr="00AB5755">
              <w:t>Minutes of the previous meeting (</w:t>
            </w:r>
            <w:r>
              <w:t>29</w:t>
            </w:r>
            <w:r w:rsidR="00E83100" w:rsidRPr="00AB5755">
              <w:t xml:space="preserve"> </w:t>
            </w:r>
            <w:r>
              <w:t>October 2013, brussels)</w:t>
            </w:r>
          </w:p>
        </w:tc>
        <w:tc>
          <w:tcPr>
            <w:tcW w:w="1072" w:type="dxa"/>
          </w:tcPr>
          <w:p w:rsidR="00B321D5" w:rsidRDefault="001C4983" w:rsidP="00232516">
            <w:r>
              <w:tab/>
            </w:r>
          </w:p>
        </w:tc>
      </w:tr>
      <w:tr w:rsidR="00B321D5" w:rsidTr="00DF524C">
        <w:tc>
          <w:tcPr>
            <w:tcW w:w="8504" w:type="dxa"/>
          </w:tcPr>
          <w:p w:rsidR="00E83100" w:rsidRPr="00AB5755" w:rsidRDefault="00E83100" w:rsidP="00674D90">
            <w:pPr>
              <w:pStyle w:val="Heading2"/>
              <w:outlineLvl w:val="1"/>
            </w:pPr>
            <w:r>
              <w:t>.</w:t>
            </w:r>
            <w:proofErr w:type="gramStart"/>
            <w:r>
              <w:t xml:space="preserve">1  </w:t>
            </w:r>
            <w:r w:rsidRPr="00AB5755">
              <w:t>Approval</w:t>
            </w:r>
            <w:proofErr w:type="gramEnd"/>
            <w:r w:rsidRPr="00AB5755">
              <w:t xml:space="preserve"> of the draft minutes</w:t>
            </w:r>
          </w:p>
          <w:p w:rsidR="00E83100" w:rsidRDefault="00E83100" w:rsidP="00E83100"/>
          <w:p w:rsidR="00421766" w:rsidRDefault="00421766" w:rsidP="00E83100">
            <w:r>
              <w:t>The draft minutes were adopted without changes.</w:t>
            </w:r>
            <w:r w:rsidR="000E1BF0">
              <w:t xml:space="preserve"> </w:t>
            </w:r>
            <w:r w:rsidR="00A64FA1">
              <w:t xml:space="preserve"> </w:t>
            </w:r>
          </w:p>
          <w:p w:rsidR="00421766" w:rsidRDefault="00421766" w:rsidP="00E83100"/>
          <w:p w:rsidR="00421766" w:rsidRDefault="00421766" w:rsidP="00674D90">
            <w:pPr>
              <w:pStyle w:val="Heading2"/>
              <w:outlineLvl w:val="1"/>
            </w:pPr>
            <w:r>
              <w:t>.</w:t>
            </w:r>
            <w:proofErr w:type="gramStart"/>
            <w:r>
              <w:t xml:space="preserve">2  </w:t>
            </w:r>
            <w:r w:rsidRPr="00AB5755">
              <w:t>Review</w:t>
            </w:r>
            <w:proofErr w:type="gramEnd"/>
            <w:r w:rsidRPr="00AB5755">
              <w:t xml:space="preserve"> of action points from last meeting</w:t>
            </w:r>
          </w:p>
          <w:p w:rsidR="00421766" w:rsidRDefault="00421766" w:rsidP="00421766"/>
          <w:p w:rsidR="000E1BF0" w:rsidRDefault="000E1BF0" w:rsidP="000E1BF0">
            <w:r w:rsidRPr="000E1BF0">
              <w:rPr>
                <w:b/>
              </w:rPr>
              <w:t>Action</w:t>
            </w:r>
            <w:r>
              <w:t xml:space="preserve">: </w:t>
            </w:r>
            <w:proofErr w:type="spellStart"/>
            <w:r>
              <w:t>NvM</w:t>
            </w:r>
            <w:proofErr w:type="spellEnd"/>
            <w:r>
              <w:t xml:space="preserve"> to find out if our comments on the ESA/GES working paper were taken into account. Carried forward.</w:t>
            </w:r>
          </w:p>
          <w:p w:rsidR="000E1BF0" w:rsidRDefault="000E1BF0" w:rsidP="000E1BF0"/>
          <w:p w:rsidR="003A1415" w:rsidRDefault="003A1415" w:rsidP="00674D90">
            <w:pPr>
              <w:pStyle w:val="Heading2"/>
              <w:outlineLvl w:val="1"/>
            </w:pPr>
            <w:r>
              <w:t>.</w:t>
            </w:r>
            <w:proofErr w:type="gramStart"/>
            <w:r>
              <w:t xml:space="preserve">3  </w:t>
            </w:r>
            <w:r w:rsidRPr="00AB5755">
              <w:t>Matters</w:t>
            </w:r>
            <w:proofErr w:type="gramEnd"/>
            <w:r w:rsidRPr="00AB5755">
              <w:t xml:space="preserve"> arising from the minutes if not on the Agenda</w:t>
            </w:r>
          </w:p>
          <w:p w:rsidR="008B1086" w:rsidRDefault="008B1086" w:rsidP="00803ED8"/>
          <w:p w:rsidR="00E3782A" w:rsidRPr="00E3782A" w:rsidRDefault="00E3782A" w:rsidP="00803ED8">
            <w:pPr>
              <w:rPr>
                <w:b/>
              </w:rPr>
            </w:pPr>
            <w:r w:rsidRPr="00E3782A">
              <w:rPr>
                <w:b/>
                <w:color w:val="000A1B"/>
              </w:rPr>
              <w:t>Action:</w:t>
            </w:r>
            <w:r>
              <w:rPr>
                <w:color w:val="000A1B"/>
              </w:rPr>
              <w:t xml:space="preserve"> ME to circulate the information on the draft </w:t>
            </w:r>
            <w:r w:rsidRPr="00E3782A">
              <w:rPr>
                <w:color w:val="000A1B"/>
              </w:rPr>
              <w:t>directive for maritime spatial planning</w:t>
            </w:r>
            <w:r>
              <w:rPr>
                <w:color w:val="000A1B"/>
              </w:rPr>
              <w:t xml:space="preserve">. </w:t>
            </w:r>
          </w:p>
          <w:p w:rsidR="00E3782A" w:rsidRDefault="00E3782A" w:rsidP="00803ED8">
            <w:r>
              <w:rPr>
                <w:b/>
              </w:rPr>
              <w:t xml:space="preserve">Action: </w:t>
            </w:r>
            <w:r w:rsidRPr="00E3782A">
              <w:t>ME to circulate</w:t>
            </w:r>
            <w:r>
              <w:rPr>
                <w:b/>
              </w:rPr>
              <w:t xml:space="preserve"> </w:t>
            </w:r>
            <w:r w:rsidRPr="00E3782A">
              <w:t>information about th</w:t>
            </w:r>
            <w:r>
              <w:t xml:space="preserve">oughts on a directive for seabed mining. </w:t>
            </w:r>
          </w:p>
          <w:p w:rsidR="00E3782A" w:rsidRDefault="00E3782A" w:rsidP="00803ED8">
            <w:pPr>
              <w:rPr>
                <w:b/>
              </w:rPr>
            </w:pPr>
            <w:r>
              <w:t xml:space="preserve">AC said that the CEDA Board recently gave a monitoring watch to the Environment Commission to follow developments re seabed and deep sea mining in the London Convention and OSPAR. </w:t>
            </w:r>
            <w:r>
              <w:rPr>
                <w:b/>
              </w:rPr>
              <w:t xml:space="preserve"> </w:t>
            </w:r>
          </w:p>
          <w:p w:rsidR="00E3782A" w:rsidRDefault="00E3782A" w:rsidP="00803ED8">
            <w:pPr>
              <w:rPr>
                <w:b/>
              </w:rPr>
            </w:pPr>
          </w:p>
          <w:p w:rsidR="004A48D7" w:rsidRDefault="004A48D7" w:rsidP="00803ED8">
            <w:pPr>
              <w:rPr>
                <w:b/>
              </w:rPr>
            </w:pPr>
            <w:r>
              <w:rPr>
                <w:b/>
              </w:rPr>
              <w:t xml:space="preserve">Action: </w:t>
            </w:r>
            <w:r w:rsidRPr="004A48D7">
              <w:t>JB</w:t>
            </w:r>
            <w:r>
              <w:t xml:space="preserve"> to circulate the </w:t>
            </w:r>
            <w:r w:rsidR="00F5110A">
              <w:t xml:space="preserve">latest position on </w:t>
            </w:r>
            <w:r w:rsidR="00F5110A">
              <w:rPr>
                <w:rFonts w:ascii="Arial" w:eastAsia="Times New Roman" w:hAnsi="Arial" w:cs="Arial"/>
                <w:sz w:val="20"/>
                <w:szCs w:val="20"/>
              </w:rPr>
              <w:t>EU Invasive Species Regulation</w:t>
            </w:r>
          </w:p>
          <w:p w:rsidR="00622275" w:rsidRDefault="00622275" w:rsidP="00803ED8">
            <w:r w:rsidRPr="00D258C7">
              <w:rPr>
                <w:b/>
              </w:rPr>
              <w:t>Action</w:t>
            </w:r>
            <w:r>
              <w:t xml:space="preserve">: AC to ask </w:t>
            </w:r>
            <w:proofErr w:type="spellStart"/>
            <w:r>
              <w:t>Dafydd</w:t>
            </w:r>
            <w:proofErr w:type="spellEnd"/>
            <w:r>
              <w:t xml:space="preserve"> Lloyd Jones whether he would like to join NAVI as a full member.</w:t>
            </w:r>
          </w:p>
          <w:p w:rsidR="001221BF" w:rsidRDefault="001221BF" w:rsidP="00803ED8">
            <w:r w:rsidRPr="00D258C7">
              <w:rPr>
                <w:b/>
              </w:rPr>
              <w:t>Action:</w:t>
            </w:r>
            <w:r>
              <w:t xml:space="preserve"> JB to </w:t>
            </w:r>
            <w:r w:rsidR="00D90E8A">
              <w:t xml:space="preserve">raise in the WG ESA meeting on 2 </w:t>
            </w:r>
            <w:r>
              <w:t xml:space="preserve">April that the </w:t>
            </w:r>
            <w:r w:rsidR="00D258C7">
              <w:t>D6 s</w:t>
            </w:r>
            <w:r w:rsidR="003F78C5">
              <w:t>t</w:t>
            </w:r>
            <w:r w:rsidR="00D258C7">
              <w:t>ate and pressure based indicators should be treated differently.</w:t>
            </w:r>
          </w:p>
          <w:p w:rsidR="00D258C7" w:rsidRDefault="00D258C7" w:rsidP="00FF6D53">
            <w:pPr>
              <w:rPr>
                <w:color w:val="FF0000"/>
              </w:rPr>
            </w:pPr>
            <w:r w:rsidRPr="00D258C7">
              <w:rPr>
                <w:b/>
              </w:rPr>
              <w:t>Action:</w:t>
            </w:r>
            <w:r>
              <w:t xml:space="preserve"> JB to voice the concern </w:t>
            </w:r>
            <w:r w:rsidR="003F78C5">
              <w:t xml:space="preserve">in the WG ESA meeting </w:t>
            </w:r>
            <w:r w:rsidR="00FF6D53">
              <w:t xml:space="preserve">in relation to MPAs and underwater noise that </w:t>
            </w:r>
            <w:r w:rsidR="00FF6D53">
              <w:rPr>
                <w:color w:val="FF0000"/>
              </w:rPr>
              <w:t>MARK: what was this exactly?</w:t>
            </w:r>
          </w:p>
          <w:p w:rsidR="00964678" w:rsidRDefault="00964678" w:rsidP="00876273">
            <w:r w:rsidRPr="00964678">
              <w:rPr>
                <w:b/>
              </w:rPr>
              <w:t>Action:</w:t>
            </w:r>
            <w:r w:rsidRPr="00964678">
              <w:t xml:space="preserve"> </w:t>
            </w:r>
            <w:proofErr w:type="spellStart"/>
            <w:r w:rsidRPr="00964678">
              <w:t>NvM</w:t>
            </w:r>
            <w:proofErr w:type="spellEnd"/>
            <w:r>
              <w:t xml:space="preserve"> to circulate the Ocean</w:t>
            </w:r>
            <w:r w:rsidR="00876273">
              <w:t xml:space="preserve"> care</w:t>
            </w:r>
            <w:r>
              <w:t xml:space="preserve"> document on </w:t>
            </w:r>
            <w:r w:rsidR="00876273">
              <w:t>underwater noise.</w:t>
            </w:r>
          </w:p>
          <w:p w:rsidR="003E0E4E" w:rsidRDefault="00EF661A" w:rsidP="00EF661A">
            <w:r w:rsidRPr="00EF661A">
              <w:rPr>
                <w:b/>
              </w:rPr>
              <w:t>Action:</w:t>
            </w:r>
            <w:r>
              <w:t xml:space="preserve"> </w:t>
            </w:r>
            <w:proofErr w:type="spellStart"/>
            <w:r>
              <w:t>NvM</w:t>
            </w:r>
            <w:proofErr w:type="spellEnd"/>
            <w:r>
              <w:t xml:space="preserve"> to ask Frank Thomsen to alert us if action is needed by the navigation community in relation to underwater noise.</w:t>
            </w:r>
          </w:p>
          <w:p w:rsidR="0084535A" w:rsidRDefault="0084535A" w:rsidP="00EF661A"/>
          <w:p w:rsidR="0084535A" w:rsidRDefault="0084535A" w:rsidP="00EF661A">
            <w:r>
              <w:t>AC advised that Frank Thomsen</w:t>
            </w:r>
            <w:r w:rsidR="00CA3670">
              <w:t xml:space="preserve"> had attended the recent meeting of the OSPAR WG on underwater noise and reported the following:</w:t>
            </w:r>
          </w:p>
          <w:p w:rsidR="00CA3670" w:rsidRDefault="00CA3670" w:rsidP="00EF661A"/>
          <w:p w:rsidR="00CA3670" w:rsidRDefault="00CA3670" w:rsidP="00EF661A">
            <w:r>
              <w:t>“</w:t>
            </w:r>
            <w:r w:rsidRPr="00CA3670">
              <w:t xml:space="preserve">There is no immediate action as much of the remit of the group is about a further guidance for monitoring towards the </w:t>
            </w:r>
            <w:proofErr w:type="gramStart"/>
            <w:r w:rsidRPr="00CA3670">
              <w:t>two  MSFD</w:t>
            </w:r>
            <w:proofErr w:type="gramEnd"/>
            <w:r w:rsidRPr="00CA3670">
              <w:t xml:space="preserve"> indicators. This will involve the setup of a noise registry for indicator 11.1.1 and suggestions for monitoring of ambient noise (involving modelling and monitoring) with regards to indicator 11.2.1. According to the revised task plan (attached), I will provide an overview of best practice on noise mitigation from dredging and extraction activities (point 13). I will do that mainly citing the WODA guidance paper which I also introduced during the meeting.  I don’t think that the next EIHA meeting will be very relevant for CEDA.</w:t>
            </w:r>
            <w:r>
              <w:t>”</w:t>
            </w:r>
          </w:p>
          <w:p w:rsidR="0084535A" w:rsidRDefault="0084535A" w:rsidP="00EF661A">
            <w:bookmarkStart w:id="0" w:name="_GoBack"/>
            <w:bookmarkEnd w:id="0"/>
          </w:p>
          <w:p w:rsidR="00B41B57" w:rsidRPr="00F60FCB" w:rsidRDefault="00B41B57" w:rsidP="00B41B57">
            <w:pPr>
              <w:jc w:val="left"/>
              <w:rPr>
                <w:rFonts w:ascii="Arial" w:hAnsi="Arial"/>
                <w:sz w:val="20"/>
                <w:szCs w:val="20"/>
                <w:lang w:val="en-GB"/>
              </w:rPr>
            </w:pPr>
            <w:proofErr w:type="spellStart"/>
            <w:r>
              <w:t>NvM</w:t>
            </w:r>
            <w:proofErr w:type="spellEnd"/>
            <w:r>
              <w:t xml:space="preserve"> reconfirmed that n</w:t>
            </w:r>
            <w:r w:rsidRPr="00F60FCB">
              <w:rPr>
                <w:rFonts w:ascii="Arial" w:hAnsi="Arial"/>
                <w:sz w:val="20"/>
                <w:szCs w:val="20"/>
                <w:lang w:val="en-GB"/>
              </w:rPr>
              <w:t xml:space="preserve">o expert group for D5 and D7 exists yet. Stakeholders are not invited to participate </w:t>
            </w:r>
            <w:r>
              <w:rPr>
                <w:rFonts w:ascii="Arial" w:hAnsi="Arial"/>
                <w:sz w:val="20"/>
                <w:szCs w:val="20"/>
                <w:lang w:val="en-GB"/>
              </w:rPr>
              <w:t xml:space="preserve">in the work on the GES Decision document. </w:t>
            </w:r>
            <w:r w:rsidRPr="00B41B57">
              <w:rPr>
                <w:rFonts w:ascii="Arial" w:hAnsi="Arial"/>
                <w:color w:val="FF0000"/>
                <w:sz w:val="20"/>
                <w:szCs w:val="20"/>
                <w:lang w:val="en-GB"/>
              </w:rPr>
              <w:t>Noemi: is this correct?</w:t>
            </w:r>
            <w:r>
              <w:rPr>
                <w:rFonts w:ascii="Arial" w:hAnsi="Arial"/>
                <w:color w:val="FF0000"/>
                <w:sz w:val="20"/>
                <w:szCs w:val="20"/>
                <w:lang w:val="en-GB"/>
              </w:rPr>
              <w:t xml:space="preserve"> I’m not sure what is the </w:t>
            </w:r>
          </w:p>
          <w:p w:rsidR="00B41B57" w:rsidRPr="00B41B57" w:rsidRDefault="00B41B57" w:rsidP="00EF661A">
            <w:pPr>
              <w:rPr>
                <w:color w:val="FF0000"/>
              </w:rPr>
            </w:pPr>
            <w:r w:rsidRPr="00B41B57">
              <w:rPr>
                <w:rFonts w:ascii="Arial" w:hAnsi="Arial"/>
                <w:color w:val="FF0000"/>
                <w:sz w:val="20"/>
                <w:szCs w:val="20"/>
                <w:lang w:val="en-GB"/>
              </w:rPr>
              <w:t>GES Decision document.</w:t>
            </w:r>
          </w:p>
          <w:p w:rsidR="00B41B57" w:rsidRDefault="00B41B57" w:rsidP="00EF661A"/>
          <w:p w:rsidR="00EF661A" w:rsidRPr="003A1415" w:rsidRDefault="003E0E4E" w:rsidP="00EF661A">
            <w:r>
              <w:t>AC reconfirmed that NAVI’s and the WFD TG’s view that the timing for a joint WFD &amp; MSFD workshop as proposed by the CEDA Environment Commission was not right had been acknowledged.</w:t>
            </w:r>
            <w:r w:rsidR="00EF661A">
              <w:t xml:space="preserve"> </w:t>
            </w:r>
          </w:p>
        </w:tc>
        <w:tc>
          <w:tcPr>
            <w:tcW w:w="1072" w:type="dxa"/>
          </w:tcPr>
          <w:p w:rsidR="00B321D5" w:rsidRDefault="00B321D5" w:rsidP="00232516"/>
          <w:p w:rsidR="00B202A6" w:rsidRDefault="00B202A6" w:rsidP="00232516"/>
          <w:p w:rsidR="000E1BF0" w:rsidRDefault="000E1BF0" w:rsidP="00232516"/>
          <w:p w:rsidR="000E1BF0" w:rsidRDefault="000E1BF0" w:rsidP="00232516"/>
          <w:p w:rsidR="000E1BF0" w:rsidRDefault="000E1BF0" w:rsidP="00232516"/>
          <w:p w:rsidR="000E1BF0" w:rsidRDefault="000E1BF0" w:rsidP="00232516"/>
          <w:p w:rsidR="000E1BF0" w:rsidRDefault="000E1BF0" w:rsidP="00232516"/>
          <w:p w:rsidR="000E1BF0" w:rsidRDefault="000E1BF0" w:rsidP="00232516">
            <w:proofErr w:type="spellStart"/>
            <w:r>
              <w:t>NvM</w:t>
            </w:r>
            <w:proofErr w:type="spellEnd"/>
          </w:p>
          <w:p w:rsidR="00B202A6" w:rsidRDefault="00B202A6" w:rsidP="00232516"/>
          <w:p w:rsidR="00B202A6" w:rsidRDefault="00B202A6" w:rsidP="00232516"/>
          <w:p w:rsidR="00622275" w:rsidRDefault="00622275" w:rsidP="00232516"/>
          <w:p w:rsidR="00622275" w:rsidRDefault="00622275" w:rsidP="00232516"/>
          <w:p w:rsidR="00622275" w:rsidRDefault="00622275" w:rsidP="00232516"/>
          <w:p w:rsidR="00E3782A" w:rsidRDefault="00E3782A" w:rsidP="00232516">
            <w:r>
              <w:t>ME</w:t>
            </w:r>
          </w:p>
          <w:p w:rsidR="00E3782A" w:rsidRDefault="00E3782A" w:rsidP="00232516">
            <w:r>
              <w:t>ME</w:t>
            </w:r>
          </w:p>
          <w:p w:rsidR="00E3782A" w:rsidRDefault="00E3782A" w:rsidP="00232516"/>
          <w:p w:rsidR="00E3782A" w:rsidRDefault="00E3782A" w:rsidP="00232516"/>
          <w:p w:rsidR="00E3782A" w:rsidRDefault="00E3782A" w:rsidP="00232516"/>
          <w:p w:rsidR="00E3782A" w:rsidRDefault="00E3782A" w:rsidP="00232516"/>
          <w:p w:rsidR="00F5110A" w:rsidRDefault="00F5110A" w:rsidP="00232516">
            <w:r>
              <w:t>JB</w:t>
            </w:r>
          </w:p>
          <w:p w:rsidR="00964678" w:rsidRDefault="00964678" w:rsidP="00232516"/>
          <w:p w:rsidR="00622275" w:rsidRDefault="00622275" w:rsidP="00232516">
            <w:r>
              <w:t>AC</w:t>
            </w:r>
          </w:p>
          <w:p w:rsidR="00B202A6" w:rsidRDefault="00D258C7" w:rsidP="00232516">
            <w:r>
              <w:t>JB</w:t>
            </w:r>
          </w:p>
          <w:p w:rsidR="00B202A6" w:rsidRDefault="00B202A6" w:rsidP="00232516"/>
          <w:p w:rsidR="00696471" w:rsidRDefault="00FF6D53" w:rsidP="003F78C5">
            <w:r w:rsidRPr="00FF6D53">
              <w:t>JB</w:t>
            </w:r>
          </w:p>
          <w:p w:rsidR="00876273" w:rsidRDefault="00876273" w:rsidP="003F78C5">
            <w:proofErr w:type="spellStart"/>
            <w:r>
              <w:t>NvM</w:t>
            </w:r>
            <w:proofErr w:type="spellEnd"/>
          </w:p>
          <w:p w:rsidR="00EF661A" w:rsidRPr="00FF6D53" w:rsidRDefault="00EF661A" w:rsidP="003F78C5">
            <w:proofErr w:type="spellStart"/>
            <w:r>
              <w:t>NvM</w:t>
            </w:r>
            <w:proofErr w:type="spellEnd"/>
          </w:p>
        </w:tc>
      </w:tr>
      <w:tr w:rsidR="00B321D5" w:rsidTr="00DF524C">
        <w:tc>
          <w:tcPr>
            <w:tcW w:w="8504" w:type="dxa"/>
          </w:tcPr>
          <w:p w:rsidR="00B321D5" w:rsidRDefault="006820E2" w:rsidP="0024128E">
            <w:pPr>
              <w:pStyle w:val="Heading1"/>
              <w:outlineLvl w:val="0"/>
            </w:pPr>
            <w:proofErr w:type="gramStart"/>
            <w:r>
              <w:lastRenderedPageBreak/>
              <w:t>4</w:t>
            </w:r>
            <w:r w:rsidR="00E83100">
              <w:t xml:space="preserve">  </w:t>
            </w:r>
            <w:r w:rsidR="0024128E">
              <w:t>Art</w:t>
            </w:r>
            <w:proofErr w:type="gramEnd"/>
            <w:r w:rsidR="0024128E">
              <w:t>. 12 assessment</w:t>
            </w:r>
          </w:p>
        </w:tc>
        <w:tc>
          <w:tcPr>
            <w:tcW w:w="1072" w:type="dxa"/>
          </w:tcPr>
          <w:p w:rsidR="00B321D5" w:rsidRDefault="00B321D5" w:rsidP="00232516"/>
        </w:tc>
      </w:tr>
      <w:tr w:rsidR="00B321D5" w:rsidTr="00DF524C">
        <w:tc>
          <w:tcPr>
            <w:tcW w:w="8504" w:type="dxa"/>
          </w:tcPr>
          <w:p w:rsidR="0024128E" w:rsidRPr="0024128E" w:rsidRDefault="0024128E" w:rsidP="0024128E">
            <w:pPr>
              <w:rPr>
                <w:i/>
                <w:sz w:val="20"/>
                <w:szCs w:val="20"/>
              </w:rPr>
            </w:pPr>
            <w:r w:rsidRPr="0024128E">
              <w:rPr>
                <w:i/>
                <w:sz w:val="20"/>
                <w:szCs w:val="20"/>
              </w:rPr>
              <w:t>The 2012 assessment by MS was intended to provide the baseline for assessing if GES has been achieved. According to the COM’s analysis of MS assessments there was a lack of quantitative information within MS and more coherent information between MS was needed in the reporting. What does NAVI think of the report? Where do we need to focus on?</w:t>
            </w:r>
            <w:r w:rsidR="004802BA">
              <w:rPr>
                <w:i/>
                <w:sz w:val="20"/>
                <w:szCs w:val="20"/>
              </w:rPr>
              <w:t xml:space="preserve"> </w:t>
            </w:r>
            <w:r w:rsidRPr="0024128E">
              <w:rPr>
                <w:i/>
                <w:sz w:val="20"/>
                <w:szCs w:val="20"/>
              </w:rPr>
              <w:t>Below the summary provided by Erik:</w:t>
            </w:r>
          </w:p>
          <w:p w:rsidR="0024128E" w:rsidRPr="0024128E" w:rsidRDefault="0024128E" w:rsidP="0024128E">
            <w:pPr>
              <w:rPr>
                <w:i/>
                <w:sz w:val="20"/>
                <w:szCs w:val="20"/>
              </w:rPr>
            </w:pPr>
            <w:r w:rsidRPr="0024128E">
              <w:rPr>
                <w:i/>
                <w:sz w:val="20"/>
                <w:szCs w:val="20"/>
              </w:rPr>
              <w:t xml:space="preserve">The SWD report is particularly interesting in the sense that it points out the </w:t>
            </w:r>
            <w:r w:rsidRPr="00DC4BE1">
              <w:rPr>
                <w:b/>
                <w:i/>
                <w:sz w:val="20"/>
                <w:szCs w:val="20"/>
              </w:rPr>
              <w:t xml:space="preserve">enormous differences </w:t>
            </w:r>
            <w:r w:rsidRPr="00DC4BE1">
              <w:rPr>
                <w:b/>
                <w:i/>
                <w:sz w:val="20"/>
                <w:szCs w:val="20"/>
              </w:rPr>
              <w:lastRenderedPageBreak/>
              <w:t>between member states approach</w:t>
            </w:r>
            <w:r w:rsidRPr="0024128E">
              <w:rPr>
                <w:i/>
                <w:sz w:val="20"/>
                <w:szCs w:val="20"/>
              </w:rPr>
              <w:t>, regions, current marine status and the relative weight of descriptors and indicators. Each member state was expected to (re-)define what is understood to be good environmental status per descriptor. Some base themselves explicitly on the Commission Decision where it defines the GES for the respective descriptors and lists the corresponding indicators. Other member states preferred to redefine altogether. In many cases the assessment of current status of the marine environment remains rather subjective. When there are quantitative criteria, their basis is not always clear. The Commission is quite critical on the quality of the assessments and the diversity of the approaches.</w:t>
            </w:r>
          </w:p>
          <w:p w:rsidR="0024128E" w:rsidRPr="0024128E" w:rsidRDefault="0024128E" w:rsidP="0024128E">
            <w:pPr>
              <w:rPr>
                <w:i/>
                <w:sz w:val="20"/>
                <w:szCs w:val="20"/>
              </w:rPr>
            </w:pPr>
            <w:r w:rsidRPr="0024128E">
              <w:rPr>
                <w:i/>
                <w:sz w:val="20"/>
                <w:szCs w:val="20"/>
              </w:rPr>
              <w:t>For the descriptors that are of interest to at least the dredging community (sea bed integrity, hydrographic change, contaminants and noise) there are nevertheless clear messages:</w:t>
            </w:r>
          </w:p>
          <w:p w:rsidR="0024128E" w:rsidRPr="0024128E" w:rsidRDefault="0024128E" w:rsidP="008204A9">
            <w:pPr>
              <w:pStyle w:val="ListParagraph"/>
              <w:numPr>
                <w:ilvl w:val="0"/>
                <w:numId w:val="20"/>
              </w:numPr>
              <w:rPr>
                <w:i/>
                <w:sz w:val="20"/>
                <w:szCs w:val="20"/>
              </w:rPr>
            </w:pPr>
            <w:proofErr w:type="gramStart"/>
            <w:r w:rsidRPr="0024128E">
              <w:rPr>
                <w:i/>
                <w:sz w:val="20"/>
                <w:szCs w:val="20"/>
              </w:rPr>
              <w:t>on</w:t>
            </w:r>
            <w:proofErr w:type="gramEnd"/>
            <w:r w:rsidRPr="0024128E">
              <w:rPr>
                <w:i/>
                <w:sz w:val="20"/>
                <w:szCs w:val="20"/>
              </w:rPr>
              <w:t xml:space="preserve"> seabed integrity, it is confirmed that by far the heaviest pressure comes from trawling fisheries. Most other pressures remain local and are hardly of consequence, even at a sub-regional level.</w:t>
            </w:r>
          </w:p>
          <w:p w:rsidR="0024128E" w:rsidRPr="0024128E" w:rsidRDefault="0024128E" w:rsidP="008204A9">
            <w:pPr>
              <w:pStyle w:val="ListParagraph"/>
              <w:numPr>
                <w:ilvl w:val="0"/>
                <w:numId w:val="20"/>
              </w:numPr>
              <w:rPr>
                <w:i/>
                <w:sz w:val="20"/>
                <w:szCs w:val="20"/>
              </w:rPr>
            </w:pPr>
            <w:proofErr w:type="gramStart"/>
            <w:r w:rsidRPr="0024128E">
              <w:rPr>
                <w:i/>
                <w:sz w:val="20"/>
                <w:szCs w:val="20"/>
              </w:rPr>
              <w:t>on</w:t>
            </w:r>
            <w:proofErr w:type="gramEnd"/>
            <w:r w:rsidRPr="0024128E">
              <w:rPr>
                <w:i/>
                <w:sz w:val="20"/>
                <w:szCs w:val="20"/>
              </w:rPr>
              <w:t xml:space="preserve"> hydrographic change: most member states don’t seem to think much of this. Some quantification has been done, mainly as percentage seabed surface affected. This remains in most cases below 1% and at least well below 5%, except for special cases (Slovenia). Even so, the status of the descriptor is typically assessed as ‘good’, since nobody knows what to compare it to anyway.</w:t>
            </w:r>
          </w:p>
          <w:p w:rsidR="0024128E" w:rsidRPr="0024128E" w:rsidRDefault="0024128E" w:rsidP="008204A9">
            <w:pPr>
              <w:pStyle w:val="ListParagraph"/>
              <w:numPr>
                <w:ilvl w:val="0"/>
                <w:numId w:val="20"/>
              </w:numPr>
              <w:rPr>
                <w:i/>
                <w:sz w:val="20"/>
                <w:szCs w:val="20"/>
              </w:rPr>
            </w:pPr>
            <w:proofErr w:type="gramStart"/>
            <w:r w:rsidRPr="0024128E">
              <w:rPr>
                <w:i/>
                <w:sz w:val="20"/>
                <w:szCs w:val="20"/>
              </w:rPr>
              <w:t>on</w:t>
            </w:r>
            <w:proofErr w:type="gramEnd"/>
            <w:r w:rsidRPr="0024128E">
              <w:rPr>
                <w:i/>
                <w:sz w:val="20"/>
                <w:szCs w:val="20"/>
              </w:rPr>
              <w:t xml:space="preserve"> contaminants: the discussion is general and the facts are fairly well known, since sampling has taken place over longer periods. Emerging chemicals don’t seem to play a measurable role in the marine regions (yet).</w:t>
            </w:r>
          </w:p>
          <w:p w:rsidR="0024128E" w:rsidRPr="0024128E" w:rsidRDefault="0024128E" w:rsidP="008204A9">
            <w:pPr>
              <w:pStyle w:val="ListParagraph"/>
              <w:numPr>
                <w:ilvl w:val="0"/>
                <w:numId w:val="20"/>
              </w:numPr>
              <w:rPr>
                <w:i/>
                <w:sz w:val="20"/>
                <w:szCs w:val="20"/>
              </w:rPr>
            </w:pPr>
            <w:proofErr w:type="gramStart"/>
            <w:r w:rsidRPr="0024128E">
              <w:rPr>
                <w:i/>
                <w:sz w:val="20"/>
                <w:szCs w:val="20"/>
              </w:rPr>
              <w:t>on</w:t>
            </w:r>
            <w:proofErr w:type="gramEnd"/>
            <w:r w:rsidRPr="0024128E">
              <w:rPr>
                <w:i/>
                <w:sz w:val="20"/>
                <w:szCs w:val="20"/>
              </w:rPr>
              <w:t xml:space="preserve"> noise: the usual statements that this is potentially of concern, but that the effects are not known in sufficient detail to develop costly preventive measures.</w:t>
            </w:r>
          </w:p>
          <w:p w:rsidR="0024128E" w:rsidRPr="00D65061" w:rsidRDefault="0024128E" w:rsidP="0024128E">
            <w:r w:rsidRPr="0024128E">
              <w:rPr>
                <w:i/>
                <w:sz w:val="20"/>
                <w:szCs w:val="20"/>
              </w:rPr>
              <w:t xml:space="preserve">Paris reported back from the HELCOM meeting that the common feeling is that MS have not common enough measures or compatible enough </w:t>
            </w:r>
            <w:proofErr w:type="spellStart"/>
            <w:r w:rsidRPr="0024128E">
              <w:rPr>
                <w:i/>
                <w:sz w:val="20"/>
                <w:szCs w:val="20"/>
              </w:rPr>
              <w:t>programmes</w:t>
            </w:r>
            <w:proofErr w:type="spellEnd"/>
            <w:r w:rsidRPr="0024128E">
              <w:rPr>
                <w:i/>
                <w:sz w:val="20"/>
                <w:szCs w:val="20"/>
              </w:rPr>
              <w:t>: (much) more cooperation and joining of forces are needed.</w:t>
            </w:r>
          </w:p>
          <w:p w:rsidR="00D11E6B" w:rsidRDefault="00D11E6B" w:rsidP="009C630A"/>
          <w:p w:rsidR="0024128E" w:rsidRDefault="005C1B42" w:rsidP="009C630A">
            <w:r>
              <w:t>Further points made in the meeting:</w:t>
            </w:r>
          </w:p>
          <w:p w:rsidR="005C1B42" w:rsidRDefault="005C1B42" w:rsidP="008204A9">
            <w:pPr>
              <w:pStyle w:val="ListParagraph"/>
              <w:numPr>
                <w:ilvl w:val="0"/>
                <w:numId w:val="21"/>
              </w:numPr>
            </w:pPr>
            <w:r>
              <w:t xml:space="preserve">There is disagreement </w:t>
            </w:r>
            <w:r w:rsidR="00A758DD">
              <w:t xml:space="preserve">even </w:t>
            </w:r>
            <w:r>
              <w:t>on what GES means. A lot of effort goes into the new Common Understanding Document, which - amongst other</w:t>
            </w:r>
            <w:r w:rsidR="00A758DD">
              <w:t>s</w:t>
            </w:r>
            <w:r>
              <w:t xml:space="preserve"> – intends to clarify the definition of GES and Environmental targets.</w:t>
            </w:r>
          </w:p>
          <w:p w:rsidR="00220462" w:rsidRDefault="005C1B42" w:rsidP="008204A9">
            <w:pPr>
              <w:pStyle w:val="ListParagraph"/>
              <w:numPr>
                <w:ilvl w:val="0"/>
                <w:numId w:val="21"/>
              </w:numPr>
            </w:pPr>
            <w:r>
              <w:t>No one really knows how to handle D7 (</w:t>
            </w:r>
            <w:r w:rsidR="00220462">
              <w:t>hydrographical condition)</w:t>
            </w:r>
            <w:r>
              <w:t>.</w:t>
            </w:r>
            <w:r w:rsidR="00220462">
              <w:t xml:space="preserve"> In the NL the baseline will be the status after the completion of </w:t>
            </w:r>
            <w:proofErr w:type="spellStart"/>
            <w:r w:rsidR="00220462">
              <w:t>Maasvlakte</w:t>
            </w:r>
            <w:proofErr w:type="spellEnd"/>
            <w:r w:rsidR="00220462">
              <w:t xml:space="preserve"> 2. UK follows a pragmatic approach. </w:t>
            </w:r>
            <w:r w:rsidR="00220462" w:rsidRPr="0082738E">
              <w:t>NAVI has to monitor</w:t>
            </w:r>
            <w:r w:rsidR="00220462" w:rsidRPr="00220462">
              <w:rPr>
                <w:b/>
              </w:rPr>
              <w:t xml:space="preserve"> </w:t>
            </w:r>
            <w:r w:rsidR="00220462" w:rsidRPr="00220462">
              <w:t xml:space="preserve">the developments </w:t>
            </w:r>
            <w:r w:rsidR="00D42E17">
              <w:t>in relation to geographic scale.</w:t>
            </w:r>
          </w:p>
          <w:p w:rsidR="001B0D81" w:rsidRDefault="00220462" w:rsidP="008204A9">
            <w:pPr>
              <w:pStyle w:val="ListParagraph"/>
              <w:numPr>
                <w:ilvl w:val="0"/>
                <w:numId w:val="21"/>
              </w:numPr>
            </w:pPr>
            <w:r>
              <w:t>Regarding D6 (seafloor integrity) the placement of dredged material may be an issue if effects are considered on small scale. Aggregation could be relevant.</w:t>
            </w:r>
          </w:p>
          <w:p w:rsidR="00D246BD" w:rsidRDefault="00220462" w:rsidP="00B873BF">
            <w:pPr>
              <w:rPr>
                <w:b/>
              </w:rPr>
            </w:pPr>
            <w:r w:rsidRPr="00B873BF">
              <w:rPr>
                <w:b/>
                <w:i/>
              </w:rPr>
              <w:t xml:space="preserve"> </w:t>
            </w:r>
          </w:p>
          <w:p w:rsidR="00D246BD" w:rsidRDefault="00D246BD" w:rsidP="00B873BF">
            <w:r w:rsidRPr="00D246BD">
              <w:t xml:space="preserve">Regarding the </w:t>
            </w:r>
            <w:r>
              <w:t xml:space="preserve">MS’ </w:t>
            </w:r>
            <w:r w:rsidRPr="00D246BD">
              <w:t xml:space="preserve">monitoring </w:t>
            </w:r>
            <w:proofErr w:type="spellStart"/>
            <w:r w:rsidRPr="00D246BD">
              <w:t>p</w:t>
            </w:r>
            <w:r>
              <w:t>rogrammes</w:t>
            </w:r>
            <w:proofErr w:type="spellEnd"/>
            <w:r>
              <w:t xml:space="preserve"> the following points were made: </w:t>
            </w:r>
          </w:p>
          <w:p w:rsidR="00D246BD" w:rsidRDefault="00D246BD" w:rsidP="00D246BD">
            <w:pPr>
              <w:pStyle w:val="ListParagraph"/>
              <w:numPr>
                <w:ilvl w:val="0"/>
                <w:numId w:val="21"/>
              </w:numPr>
            </w:pPr>
            <w:r>
              <w:t xml:space="preserve">The UK, the Netherlands and Sweden are doing public consultation of their monitoring </w:t>
            </w:r>
            <w:proofErr w:type="spellStart"/>
            <w:r>
              <w:t>programmes</w:t>
            </w:r>
            <w:proofErr w:type="spellEnd"/>
            <w:r>
              <w:t>.</w:t>
            </w:r>
          </w:p>
          <w:p w:rsidR="007D61F2" w:rsidRDefault="00D246BD" w:rsidP="00D246BD">
            <w:pPr>
              <w:pStyle w:val="ListParagraph"/>
              <w:numPr>
                <w:ilvl w:val="0"/>
                <w:numId w:val="21"/>
              </w:numPr>
            </w:pPr>
            <w:r>
              <w:t xml:space="preserve">As these are indicative for what could be expected in the forthcoming </w:t>
            </w:r>
            <w:proofErr w:type="spellStart"/>
            <w:r>
              <w:t>Programmes</w:t>
            </w:r>
            <w:proofErr w:type="spellEnd"/>
            <w:r>
              <w:t xml:space="preserve"> of Measures NAVI should scan these documents for the descriptors relevant to us </w:t>
            </w:r>
            <w:r w:rsidR="006820E2">
              <w:t>(</w:t>
            </w:r>
            <w:r w:rsidR="007D61F2">
              <w:t xml:space="preserve">D2 (non-indigenous species), </w:t>
            </w:r>
            <w:proofErr w:type="gramStart"/>
            <w:r w:rsidR="007D61F2">
              <w:t>D6</w:t>
            </w:r>
            <w:r>
              <w:t>(</w:t>
            </w:r>
            <w:proofErr w:type="gramEnd"/>
            <w:r>
              <w:t>sea-floor integrity), D7(hydrographical conditions), D8 (contaminants), D10 (litter) and D11(underwater noise)</w:t>
            </w:r>
            <w:r w:rsidR="006820E2">
              <w:t>)</w:t>
            </w:r>
            <w:r w:rsidR="007D61F2">
              <w:t xml:space="preserve"> with a focus on the</w:t>
            </w:r>
            <w:r>
              <w:t xml:space="preserve"> scale</w:t>
            </w:r>
            <w:r w:rsidR="007D61F2">
              <w:t xml:space="preserve"> and level of ambition (is it the same as for the Birds and Habitats Directives?)</w:t>
            </w:r>
            <w:r>
              <w:t>.</w:t>
            </w:r>
          </w:p>
          <w:p w:rsidR="00596C01" w:rsidRDefault="00596C01" w:rsidP="00D246BD">
            <w:pPr>
              <w:pStyle w:val="ListParagraph"/>
              <w:numPr>
                <w:ilvl w:val="0"/>
                <w:numId w:val="21"/>
              </w:numPr>
            </w:pPr>
            <w:r>
              <w:t>How in-combination effects will be handled remains a question.</w:t>
            </w:r>
          </w:p>
          <w:p w:rsidR="007D61F2" w:rsidRDefault="007D61F2" w:rsidP="007D61F2">
            <w:r w:rsidRPr="00AC0E69">
              <w:rPr>
                <w:b/>
              </w:rPr>
              <w:t>Action:</w:t>
            </w:r>
            <w:r>
              <w:t xml:space="preserve"> JB to provide an example based on the UK monitoring </w:t>
            </w:r>
            <w:proofErr w:type="spellStart"/>
            <w:r>
              <w:t>programme</w:t>
            </w:r>
            <w:proofErr w:type="spellEnd"/>
            <w:r>
              <w:t xml:space="preserve"> for the type of information the monitoring </w:t>
            </w:r>
            <w:proofErr w:type="spellStart"/>
            <w:r>
              <w:t>programmes</w:t>
            </w:r>
            <w:proofErr w:type="spellEnd"/>
            <w:r>
              <w:t xml:space="preserve"> should be scrutinized for.</w:t>
            </w:r>
          </w:p>
          <w:p w:rsidR="007D61F2" w:rsidRDefault="007D61F2" w:rsidP="007D61F2">
            <w:r w:rsidRPr="00AC0E69">
              <w:rPr>
                <w:b/>
              </w:rPr>
              <w:t>Action:</w:t>
            </w:r>
            <w:r>
              <w:t xml:space="preserve"> </w:t>
            </w:r>
            <w:proofErr w:type="gramStart"/>
            <w:r>
              <w:t>ME</w:t>
            </w:r>
            <w:proofErr w:type="gramEnd"/>
            <w:r>
              <w:t xml:space="preserve"> and HR top check the monitoring </w:t>
            </w:r>
            <w:proofErr w:type="spellStart"/>
            <w:r>
              <w:t>p</w:t>
            </w:r>
            <w:r w:rsidR="00B47F0F">
              <w:t>rogrammes</w:t>
            </w:r>
            <w:proofErr w:type="spellEnd"/>
            <w:r w:rsidR="00B47F0F">
              <w:t xml:space="preserve"> of the NL and Germany </w:t>
            </w:r>
            <w:r w:rsidR="00B47F0F">
              <w:lastRenderedPageBreak/>
              <w:t>respectively.</w:t>
            </w:r>
          </w:p>
          <w:p w:rsidR="005C1B42" w:rsidRPr="00D246BD" w:rsidRDefault="007D61F2" w:rsidP="00B873BF">
            <w:r w:rsidRPr="00AC0E69">
              <w:rPr>
                <w:b/>
              </w:rPr>
              <w:t>Action:</w:t>
            </w:r>
            <w:r>
              <w:t xml:space="preserve"> AC to ask the French, Belgian, Danish</w:t>
            </w:r>
            <w:r w:rsidR="0091729E">
              <w:t xml:space="preserve">, Bulgarian </w:t>
            </w:r>
            <w:r>
              <w:t>and Portuguese members of the CEDA Environment Commission to do the same and try to get feedback from Sweden and Finland through contacts.</w:t>
            </w:r>
          </w:p>
        </w:tc>
        <w:tc>
          <w:tcPr>
            <w:tcW w:w="1072" w:type="dxa"/>
          </w:tcPr>
          <w:p w:rsidR="00B321D5" w:rsidRDefault="00B321D5" w:rsidP="00232516"/>
          <w:p w:rsidR="003A1415" w:rsidRDefault="003A1415" w:rsidP="00232516"/>
          <w:p w:rsidR="003A1415" w:rsidRDefault="003A1415" w:rsidP="00232516"/>
          <w:p w:rsidR="00D11E6B" w:rsidRDefault="00D11E6B"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AC0E69" w:rsidRDefault="00AC0E69" w:rsidP="00232516"/>
          <w:p w:rsidR="00B47F0F" w:rsidRDefault="00B47F0F" w:rsidP="00232516"/>
          <w:p w:rsidR="00B47F0F" w:rsidRDefault="00B47F0F" w:rsidP="00232516"/>
          <w:p w:rsidR="00B47F0F" w:rsidRDefault="00B47F0F" w:rsidP="00232516"/>
          <w:p w:rsidR="00B47F0F" w:rsidRDefault="00B47F0F" w:rsidP="00232516"/>
          <w:p w:rsidR="00AC0E69" w:rsidRDefault="00AC0E69" w:rsidP="00232516"/>
          <w:p w:rsidR="00AC0E69" w:rsidRDefault="00AC0E69" w:rsidP="00232516">
            <w:r>
              <w:t>JB</w:t>
            </w:r>
          </w:p>
          <w:p w:rsidR="00AC0E69" w:rsidRDefault="00AC0E69" w:rsidP="00232516"/>
          <w:p w:rsidR="00AC0E69" w:rsidRDefault="00AC0E69" w:rsidP="00232516">
            <w:r>
              <w:t>ME, HR</w:t>
            </w:r>
          </w:p>
          <w:p w:rsidR="00AC0E69" w:rsidRDefault="00AC0E69" w:rsidP="00232516">
            <w:r>
              <w:t>AC</w:t>
            </w:r>
          </w:p>
        </w:tc>
      </w:tr>
      <w:tr w:rsidR="00B321D5" w:rsidTr="00DF524C">
        <w:tc>
          <w:tcPr>
            <w:tcW w:w="8504" w:type="dxa"/>
          </w:tcPr>
          <w:p w:rsidR="00FF5727" w:rsidRPr="00FF5727" w:rsidRDefault="00FF5727" w:rsidP="00FF5727">
            <w:pPr>
              <w:pStyle w:val="Heading1"/>
              <w:outlineLvl w:val="0"/>
            </w:pPr>
            <w:r>
              <w:rPr>
                <w:rStyle w:val="Heading1Char"/>
                <w:b/>
                <w:bCs/>
                <w:caps/>
              </w:rPr>
              <w:lastRenderedPageBreak/>
              <w:t>5</w:t>
            </w:r>
            <w:r>
              <w:rPr>
                <w:rStyle w:val="Heading1Char"/>
                <w:b/>
                <w:bCs/>
                <w:caps/>
              </w:rPr>
              <w:tab/>
            </w:r>
            <w:r w:rsidRPr="00FF5727">
              <w:rPr>
                <w:rStyle w:val="Heading1Char"/>
                <w:b/>
                <w:bCs/>
                <w:caps/>
              </w:rPr>
              <w:t>fe</w:t>
            </w:r>
            <w:r>
              <w:rPr>
                <w:rStyle w:val="Heading1Char"/>
                <w:b/>
                <w:bCs/>
                <w:caps/>
              </w:rPr>
              <w:t>edback from HOPE conference</w:t>
            </w:r>
          </w:p>
        </w:tc>
        <w:tc>
          <w:tcPr>
            <w:tcW w:w="1072" w:type="dxa"/>
          </w:tcPr>
          <w:p w:rsidR="00A051C6" w:rsidRDefault="00A051C6" w:rsidP="00232516"/>
          <w:p w:rsidR="00A051C6" w:rsidRDefault="00A051C6" w:rsidP="00232516"/>
        </w:tc>
      </w:tr>
      <w:tr w:rsidR="00B321D5" w:rsidTr="00DF524C">
        <w:tc>
          <w:tcPr>
            <w:tcW w:w="8504" w:type="dxa"/>
          </w:tcPr>
          <w:p w:rsidR="004802BA" w:rsidRPr="004802BA" w:rsidRDefault="004802BA" w:rsidP="004802BA">
            <w:pPr>
              <w:pStyle w:val="ListParagraph"/>
              <w:ind w:left="360"/>
              <w:rPr>
                <w:i/>
                <w:sz w:val="20"/>
                <w:szCs w:val="20"/>
                <w:lang w:val="en-GB"/>
              </w:rPr>
            </w:pPr>
            <w:r w:rsidRPr="004802BA">
              <w:rPr>
                <w:i/>
                <w:sz w:val="20"/>
                <w:szCs w:val="20"/>
                <w:lang w:val="en-GB"/>
              </w:rPr>
              <w:t>Erik, Jan and Albert attended and reported back.</w:t>
            </w:r>
          </w:p>
          <w:p w:rsidR="004802BA" w:rsidRPr="004802BA" w:rsidRDefault="004802BA" w:rsidP="004802BA">
            <w:pPr>
              <w:ind w:left="360"/>
              <w:rPr>
                <w:i/>
                <w:sz w:val="20"/>
                <w:szCs w:val="20"/>
                <w:lang w:val="en-GB"/>
              </w:rPr>
            </w:pPr>
            <w:r w:rsidRPr="004802BA">
              <w:rPr>
                <w:i/>
                <w:sz w:val="20"/>
                <w:szCs w:val="20"/>
                <w:lang w:val="en-GB"/>
              </w:rPr>
              <w:t>According to Erik the conference had clearly a political goal to put the marine strategy and policy in the limelight, and a more down to earth goal to emphasize the many gaps in knowledge and implementation which require much further work by both the member states competent bodies and the support of the marine scientific community.</w:t>
            </w:r>
          </w:p>
          <w:p w:rsidR="004802BA" w:rsidRPr="004802BA" w:rsidRDefault="004802BA" w:rsidP="004802BA">
            <w:pPr>
              <w:ind w:left="360"/>
              <w:rPr>
                <w:i/>
                <w:sz w:val="20"/>
                <w:szCs w:val="20"/>
                <w:lang w:val="en-GB"/>
              </w:rPr>
            </w:pPr>
            <w:r w:rsidRPr="004802BA">
              <w:rPr>
                <w:i/>
                <w:sz w:val="20"/>
                <w:szCs w:val="20"/>
                <w:lang w:val="en-GB"/>
              </w:rPr>
              <w:t>The discussion of the upcoming programmes of measures remained necessarily at a general level, but some trends can be noted already.</w:t>
            </w:r>
          </w:p>
          <w:p w:rsidR="004802BA" w:rsidRPr="004802BA" w:rsidRDefault="004802BA" w:rsidP="004802BA">
            <w:pPr>
              <w:ind w:left="360"/>
              <w:rPr>
                <w:i/>
                <w:sz w:val="20"/>
                <w:szCs w:val="20"/>
                <w:lang w:val="en-GB"/>
              </w:rPr>
            </w:pPr>
            <w:r w:rsidRPr="004802BA">
              <w:rPr>
                <w:i/>
                <w:sz w:val="20"/>
                <w:szCs w:val="20"/>
                <w:lang w:val="en-GB"/>
              </w:rPr>
              <w:t xml:space="preserve">There is a clear need to get to grips with the various overlaps and common ground of directives and policies: WFD, MSFD, BHD, marine policies (coastal zone planning), ‘blue growth’, agricultural policy, common fisheries policy. </w:t>
            </w:r>
            <w:r w:rsidRPr="004802BA">
              <w:rPr>
                <w:i/>
                <w:sz w:val="20"/>
                <w:szCs w:val="20"/>
                <w:u w:val="single"/>
                <w:lang w:val="en-GB"/>
              </w:rPr>
              <w:t>The MSFD really must function as a framework for regional integration and cooperation and for policy integration</w:t>
            </w:r>
            <w:r w:rsidRPr="004802BA">
              <w:rPr>
                <w:i/>
                <w:sz w:val="20"/>
                <w:szCs w:val="20"/>
                <w:lang w:val="en-GB"/>
              </w:rPr>
              <w:t>.</w:t>
            </w:r>
          </w:p>
          <w:p w:rsidR="004802BA" w:rsidRDefault="004802BA" w:rsidP="004802BA">
            <w:pPr>
              <w:ind w:left="360"/>
              <w:rPr>
                <w:i/>
                <w:sz w:val="20"/>
                <w:szCs w:val="20"/>
                <w:lang w:val="en-GB"/>
              </w:rPr>
            </w:pPr>
            <w:r w:rsidRPr="004802BA">
              <w:rPr>
                <w:i/>
                <w:sz w:val="20"/>
                <w:szCs w:val="20"/>
                <w:lang w:val="en-GB"/>
              </w:rPr>
              <w:t>Categories of measures: creation of MPAs, reduction of input from land-based sources (waste water, agricultural run-off), enforce sustainable fishing, regional cooperation and planning</w:t>
            </w:r>
            <w:proofErr w:type="gramStart"/>
            <w:r w:rsidRPr="004802BA">
              <w:rPr>
                <w:i/>
                <w:sz w:val="20"/>
                <w:szCs w:val="20"/>
                <w:lang w:val="en-GB"/>
              </w:rPr>
              <w:t>,-</w:t>
            </w:r>
            <w:proofErr w:type="gramEnd"/>
            <w:r w:rsidRPr="004802BA">
              <w:rPr>
                <w:i/>
                <w:sz w:val="20"/>
                <w:szCs w:val="20"/>
                <w:lang w:val="en-GB"/>
              </w:rPr>
              <w:t xml:space="preserve"> mainly via RSCs-, address risks and consequences of climate change. These general approaches will need to be complemented with specific measures (limiting certain activities, impact assessments, possibly measures for some threatened species</w:t>
            </w:r>
            <w:proofErr w:type="gramStart"/>
            <w:r w:rsidRPr="004802BA">
              <w:rPr>
                <w:i/>
                <w:sz w:val="20"/>
                <w:szCs w:val="20"/>
                <w:lang w:val="en-GB"/>
              </w:rPr>
              <w:t>,…</w:t>
            </w:r>
            <w:proofErr w:type="gramEnd"/>
            <w:r w:rsidRPr="004802BA">
              <w:rPr>
                <w:i/>
                <w:sz w:val="20"/>
                <w:szCs w:val="20"/>
                <w:lang w:val="en-GB"/>
              </w:rPr>
              <w:t>).</w:t>
            </w:r>
            <w:r>
              <w:rPr>
                <w:i/>
                <w:sz w:val="20"/>
                <w:szCs w:val="20"/>
                <w:lang w:val="en-GB"/>
              </w:rPr>
              <w:t xml:space="preserve"> Below the </w:t>
            </w:r>
            <w:r w:rsidRPr="004802BA">
              <w:rPr>
                <w:i/>
                <w:sz w:val="20"/>
                <w:szCs w:val="20"/>
                <w:lang w:val="en-GB"/>
              </w:rPr>
              <w:t>Summary of key pressures and common themes addressed,</w:t>
            </w:r>
            <w:r>
              <w:rPr>
                <w:i/>
                <w:sz w:val="20"/>
                <w:szCs w:val="20"/>
                <w:lang w:val="en-GB"/>
              </w:rPr>
              <w:t xml:space="preserve"> drafted by Jan.</w:t>
            </w:r>
          </w:p>
          <w:p w:rsidR="004802BA" w:rsidRDefault="004802BA" w:rsidP="004802BA">
            <w:pPr>
              <w:ind w:left="360"/>
              <w:rPr>
                <w:i/>
                <w:sz w:val="20"/>
                <w:szCs w:val="20"/>
                <w:lang w:val="en-GB"/>
              </w:rPr>
            </w:pPr>
          </w:p>
          <w:p w:rsidR="00B321D5" w:rsidRDefault="004802BA" w:rsidP="004802BA">
            <w:pPr>
              <w:ind w:left="360"/>
              <w:rPr>
                <w:lang w:val="en-GB"/>
              </w:rPr>
            </w:pPr>
            <w:r w:rsidRPr="004802BA">
              <w:rPr>
                <w:i/>
                <w:sz w:val="20"/>
                <w:szCs w:val="20"/>
                <w:lang w:val="en-GB"/>
              </w:rPr>
              <w:t>.</w:t>
            </w:r>
            <w:r>
              <w:rPr>
                <w:noProof/>
              </w:rPr>
              <w:drawing>
                <wp:inline distT="0" distB="0" distL="0" distR="0" wp14:anchorId="7B42B3E5" wp14:editId="48FC6548">
                  <wp:extent cx="3725936" cy="185110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07_211655.jpg"/>
                          <pic:cNvPicPr/>
                        </pic:nvPicPr>
                        <pic:blipFill>
                          <a:blip r:embed="rId9">
                            <a:extLst>
                              <a:ext uri="{28A0092B-C50C-407E-A947-70E740481C1C}">
                                <a14:useLocalDpi xmlns:a14="http://schemas.microsoft.com/office/drawing/2010/main" val="0"/>
                              </a:ext>
                            </a:extLst>
                          </a:blip>
                          <a:stretch>
                            <a:fillRect/>
                          </a:stretch>
                        </pic:blipFill>
                        <pic:spPr>
                          <a:xfrm>
                            <a:off x="0" y="0"/>
                            <a:ext cx="3723607" cy="1849945"/>
                          </a:xfrm>
                          <a:prstGeom prst="rect">
                            <a:avLst/>
                          </a:prstGeom>
                        </pic:spPr>
                      </pic:pic>
                    </a:graphicData>
                  </a:graphic>
                </wp:inline>
              </w:drawing>
            </w:r>
          </w:p>
          <w:p w:rsidR="004802BA" w:rsidRDefault="004802BA" w:rsidP="004802BA">
            <w:pPr>
              <w:rPr>
                <w:lang w:val="en-GB"/>
              </w:rPr>
            </w:pPr>
          </w:p>
          <w:p w:rsidR="004802BA" w:rsidRPr="004802BA" w:rsidRDefault="004802BA" w:rsidP="004802BA">
            <w:pPr>
              <w:rPr>
                <w:i/>
                <w:sz w:val="16"/>
                <w:szCs w:val="16"/>
                <w:lang w:val="en-GB"/>
              </w:rPr>
            </w:pPr>
            <w:r w:rsidRPr="004802BA">
              <w:rPr>
                <w:lang w:val="en-GB"/>
              </w:rPr>
              <w:t xml:space="preserve">* </w:t>
            </w:r>
            <w:r w:rsidRPr="004802BA">
              <w:rPr>
                <w:lang w:val="en-GB"/>
              </w:rPr>
              <w:tab/>
            </w:r>
            <w:r w:rsidRPr="004802BA">
              <w:rPr>
                <w:i/>
                <w:sz w:val="16"/>
                <w:szCs w:val="16"/>
                <w:lang w:val="en-GB"/>
              </w:rPr>
              <w:t>an increasingly important emerging issue, likely to move higher up the ranking table</w:t>
            </w:r>
          </w:p>
          <w:p w:rsidR="004802BA" w:rsidRPr="004802BA" w:rsidRDefault="004802BA" w:rsidP="004802BA">
            <w:pPr>
              <w:rPr>
                <w:i/>
                <w:sz w:val="16"/>
                <w:szCs w:val="16"/>
                <w:lang w:val="en-GB"/>
              </w:rPr>
            </w:pPr>
            <w:r w:rsidRPr="004802BA">
              <w:rPr>
                <w:i/>
                <w:sz w:val="16"/>
                <w:szCs w:val="16"/>
                <w:lang w:val="en-GB"/>
              </w:rPr>
              <w:t xml:space="preserve">** </w:t>
            </w:r>
            <w:r w:rsidRPr="004802BA">
              <w:rPr>
                <w:i/>
                <w:sz w:val="16"/>
                <w:szCs w:val="16"/>
                <w:lang w:val="en-GB"/>
              </w:rPr>
              <w:tab/>
            </w:r>
            <w:proofErr w:type="gramStart"/>
            <w:r w:rsidRPr="004802BA">
              <w:rPr>
                <w:i/>
                <w:sz w:val="16"/>
                <w:szCs w:val="16"/>
                <w:lang w:val="en-GB"/>
              </w:rPr>
              <w:t>the</w:t>
            </w:r>
            <w:proofErr w:type="gramEnd"/>
            <w:r w:rsidRPr="004802BA">
              <w:rPr>
                <w:i/>
                <w:sz w:val="16"/>
                <w:szCs w:val="16"/>
                <w:lang w:val="en-GB"/>
              </w:rPr>
              <w:t xml:space="preserve"> hydrographical conditions descriptor was neither covered in the programme nor mentioned during these introductory presentations.</w:t>
            </w:r>
          </w:p>
          <w:p w:rsidR="004802BA" w:rsidRDefault="004802BA" w:rsidP="004802BA">
            <w:pPr>
              <w:rPr>
                <w:lang w:val="en-GB"/>
              </w:rPr>
            </w:pPr>
          </w:p>
          <w:p w:rsidR="004802BA" w:rsidRDefault="002D686B" w:rsidP="004802BA">
            <w:pPr>
              <w:rPr>
                <w:lang w:val="en-GB"/>
              </w:rPr>
            </w:pPr>
            <w:r>
              <w:rPr>
                <w:lang w:val="en-GB"/>
              </w:rPr>
              <w:t>JB stressed that it would be important for the shipping organisations (ECSA) to get involved.</w:t>
            </w:r>
          </w:p>
          <w:p w:rsidR="004802BA" w:rsidRDefault="002D686B" w:rsidP="003C5EC0">
            <w:pPr>
              <w:rPr>
                <w:lang w:val="en-GB"/>
              </w:rPr>
            </w:pPr>
            <w:r w:rsidRPr="003C5EC0">
              <w:rPr>
                <w:b/>
                <w:lang w:val="en-GB"/>
              </w:rPr>
              <w:t>Action</w:t>
            </w:r>
            <w:r>
              <w:rPr>
                <w:lang w:val="en-GB"/>
              </w:rPr>
              <w:t xml:space="preserve">: JB to send the name of the </w:t>
            </w:r>
            <w:r w:rsidR="003C5EC0">
              <w:rPr>
                <w:lang w:val="en-GB"/>
              </w:rPr>
              <w:t>Cruise Line Association representative who attended HOPE to Paris. Paris to get in touch with him to discuss their possible membership on NAVI representing ECSA.</w:t>
            </w:r>
          </w:p>
          <w:p w:rsidR="003C5EC0" w:rsidRPr="004802BA" w:rsidRDefault="003C5EC0" w:rsidP="003C5EC0">
            <w:pPr>
              <w:rPr>
                <w:lang w:val="en-GB"/>
              </w:rPr>
            </w:pPr>
            <w:r w:rsidRPr="003C5EC0">
              <w:rPr>
                <w:b/>
                <w:lang w:val="en-GB"/>
              </w:rPr>
              <w:t>Action</w:t>
            </w:r>
            <w:r w:rsidR="00F546E3">
              <w:rPr>
                <w:lang w:val="en-GB"/>
              </w:rPr>
              <w:t xml:space="preserve">: </w:t>
            </w:r>
            <w:proofErr w:type="spellStart"/>
            <w:r w:rsidR="00F546E3">
              <w:rPr>
                <w:lang w:val="en-GB"/>
              </w:rPr>
              <w:t>NvM</w:t>
            </w:r>
            <w:proofErr w:type="spellEnd"/>
            <w:r w:rsidR="00F546E3">
              <w:rPr>
                <w:lang w:val="en-GB"/>
              </w:rPr>
              <w:t xml:space="preserve"> to alert ECSA if</w:t>
            </w:r>
            <w:r>
              <w:rPr>
                <w:lang w:val="en-GB"/>
              </w:rPr>
              <w:t xml:space="preserve"> something relevant for shipping comes up.</w:t>
            </w:r>
          </w:p>
        </w:tc>
        <w:tc>
          <w:tcPr>
            <w:tcW w:w="1072" w:type="dxa"/>
          </w:tcPr>
          <w:p w:rsidR="00B321D5" w:rsidRDefault="00B321D5"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p w:rsidR="003C5EC0" w:rsidRDefault="003C5EC0" w:rsidP="00232516">
            <w:r>
              <w:t>JB, PS</w:t>
            </w:r>
          </w:p>
        </w:tc>
      </w:tr>
      <w:tr w:rsidR="00B321D5" w:rsidTr="00DF524C">
        <w:tc>
          <w:tcPr>
            <w:tcW w:w="8504" w:type="dxa"/>
          </w:tcPr>
          <w:p w:rsidR="00B321D5" w:rsidRDefault="006D7A6C" w:rsidP="00134B78">
            <w:pPr>
              <w:pStyle w:val="Heading1"/>
              <w:outlineLvl w:val="0"/>
            </w:pPr>
            <w:r>
              <w:t>7</w:t>
            </w:r>
            <w:r w:rsidR="008B1086">
              <w:t xml:space="preserve"> </w:t>
            </w:r>
            <w:r w:rsidR="00134B78">
              <w:tab/>
              <w:t>scaling and aggregation rules</w:t>
            </w:r>
          </w:p>
        </w:tc>
        <w:tc>
          <w:tcPr>
            <w:tcW w:w="1072" w:type="dxa"/>
          </w:tcPr>
          <w:p w:rsidR="00B321D5" w:rsidRDefault="00B321D5" w:rsidP="00232516"/>
        </w:tc>
      </w:tr>
      <w:tr w:rsidR="00B321D5" w:rsidTr="00DF524C">
        <w:tc>
          <w:tcPr>
            <w:tcW w:w="8504" w:type="dxa"/>
          </w:tcPr>
          <w:p w:rsidR="00E34A8C" w:rsidRDefault="00E34A8C" w:rsidP="00E83100"/>
          <w:p w:rsidR="00882B84" w:rsidRPr="00882B84" w:rsidRDefault="00882B84" w:rsidP="00882B84">
            <w:pPr>
              <w:pStyle w:val="ListParagraph"/>
              <w:numPr>
                <w:ilvl w:val="1"/>
                <w:numId w:val="22"/>
              </w:numPr>
              <w:rPr>
                <w:i/>
                <w:lang w:val="en-GB"/>
              </w:rPr>
            </w:pPr>
            <w:proofErr w:type="gramStart"/>
            <w:r w:rsidRPr="00882B84">
              <w:rPr>
                <w:i/>
                <w:lang w:val="en-GB"/>
              </w:rPr>
              <w:lastRenderedPageBreak/>
              <w:t>what</w:t>
            </w:r>
            <w:proofErr w:type="gramEnd"/>
            <w:r w:rsidRPr="00882B84">
              <w:rPr>
                <w:i/>
                <w:lang w:val="en-GB"/>
              </w:rPr>
              <w:t xml:space="preserve"> is the general response of NAVI members to the consultant’s report? No comments/input were provided by NAVI and therefore none were sent to COM. Deadline was 28</w:t>
            </w:r>
            <w:r w:rsidRPr="00882B84">
              <w:rPr>
                <w:i/>
                <w:vertAlign w:val="superscript"/>
                <w:lang w:val="en-GB"/>
              </w:rPr>
              <w:t>th</w:t>
            </w:r>
            <w:r w:rsidRPr="00882B84">
              <w:rPr>
                <w:i/>
                <w:lang w:val="en-GB"/>
              </w:rPr>
              <w:t xml:space="preserve"> March.</w:t>
            </w:r>
          </w:p>
          <w:p w:rsidR="00882B84" w:rsidRPr="00882B84" w:rsidRDefault="00882B84" w:rsidP="00882B84">
            <w:pPr>
              <w:pStyle w:val="ListParagraph"/>
              <w:numPr>
                <w:ilvl w:val="1"/>
                <w:numId w:val="22"/>
              </w:numPr>
              <w:rPr>
                <w:i/>
                <w:lang w:val="en-GB"/>
              </w:rPr>
            </w:pPr>
            <w:proofErr w:type="gramStart"/>
            <w:r w:rsidRPr="00882B84">
              <w:rPr>
                <w:i/>
                <w:lang w:val="en-GB"/>
              </w:rPr>
              <w:t>do</w:t>
            </w:r>
            <w:proofErr w:type="gramEnd"/>
            <w:r w:rsidRPr="00882B84">
              <w:rPr>
                <w:i/>
                <w:lang w:val="en-GB"/>
              </w:rPr>
              <w:t xml:space="preserve"> we have preferences as to which aggregation principle is used under which circumstance? E.g. do we agree with COM’s approach to apply the one-out-all-out principle at the overall descriptor level and possibly also at the level of criteria?</w:t>
            </w:r>
          </w:p>
          <w:p w:rsidR="00882B84" w:rsidRDefault="00882B84" w:rsidP="00882B84">
            <w:pPr>
              <w:ind w:left="762"/>
              <w:rPr>
                <w:rFonts w:cs="Tahoma"/>
                <w:szCs w:val="26"/>
                <w:lang w:val="en-GB"/>
              </w:rPr>
            </w:pPr>
            <w:r w:rsidRPr="00882B84">
              <w:rPr>
                <w:rFonts w:cs="Tahoma"/>
                <w:i/>
                <w:szCs w:val="26"/>
                <w:lang w:val="en-GB"/>
              </w:rPr>
              <w:t>COM’s view: Applying the one-out-all-out principle between the 11 descriptors makes sense, because they distinguish the main environmental issues, so if one is not at GES than the marine environment cannot be at GES. How this principle can or should be applied within descriptors is still open for discussion, since this can be different between descriptors. COM acknowledges that where there is a large degree of uncertainty it becomes challenging to use this principle. Where there is a small degree of uncertainty this principle is very useful. Advice: distinguish on the one hand between parameters that are important and thus included in the one-out-all-out principle and on the other hand those that are less important and thus not included in this principle. Distinguish between main and supporting parameters; introduce a hierarchy. Not only in terms of the one-out-all-out principle, but also in terms of reducing complexity. There is such a high number of indicators.  Applying the one-out-all-out principle does not mean that you necessarily diminish the information to one colour (red or green), but you could also e.g. use a pie chart in which the 11 descriptors are portrayed with their accompanying status (GES/not GES).</w:t>
            </w:r>
          </w:p>
          <w:p w:rsidR="00882B84" w:rsidRDefault="00882B84" w:rsidP="00882B84">
            <w:pPr>
              <w:ind w:left="762"/>
              <w:rPr>
                <w:rFonts w:cs="Tahoma"/>
                <w:szCs w:val="26"/>
                <w:lang w:val="en-GB"/>
              </w:rPr>
            </w:pPr>
          </w:p>
          <w:p w:rsidR="00882B84" w:rsidRDefault="00882B84" w:rsidP="00882B84">
            <w:pPr>
              <w:ind w:left="762"/>
              <w:rPr>
                <w:rFonts w:cs="Tahoma"/>
                <w:szCs w:val="26"/>
                <w:lang w:val="en-GB"/>
              </w:rPr>
            </w:pPr>
            <w:r>
              <w:rPr>
                <w:rFonts w:cs="Tahoma"/>
                <w:szCs w:val="26"/>
                <w:lang w:val="en-GB"/>
              </w:rPr>
              <w:t>NAVI does not think that the “</w:t>
            </w:r>
            <w:r w:rsidRPr="00882B84">
              <w:rPr>
                <w:rFonts w:cs="Tahoma"/>
                <w:szCs w:val="26"/>
                <w:lang w:val="en-GB"/>
              </w:rPr>
              <w:t>one-out-all-out principle</w:t>
            </w:r>
            <w:r>
              <w:rPr>
                <w:rFonts w:cs="Tahoma"/>
                <w:szCs w:val="26"/>
                <w:lang w:val="en-GB"/>
              </w:rPr>
              <w:t>” is a sensible approach. Further it does not give a</w:t>
            </w:r>
            <w:r w:rsidR="00906F96">
              <w:rPr>
                <w:rFonts w:cs="Tahoma"/>
                <w:szCs w:val="26"/>
                <w:lang w:val="en-GB"/>
              </w:rPr>
              <w:t>n incentive to MS to put effort</w:t>
            </w:r>
            <w:r>
              <w:rPr>
                <w:rFonts w:cs="Tahoma"/>
                <w:szCs w:val="26"/>
                <w:lang w:val="en-GB"/>
              </w:rPr>
              <w:t xml:space="preserve"> into improving one or two indicators.  </w:t>
            </w:r>
          </w:p>
          <w:p w:rsidR="00882B84" w:rsidRPr="00882B84" w:rsidRDefault="00882B84" w:rsidP="00882B84">
            <w:pPr>
              <w:ind w:left="762"/>
              <w:rPr>
                <w:lang w:val="en-GB"/>
              </w:rPr>
            </w:pPr>
          </w:p>
          <w:p w:rsidR="00882B84" w:rsidRDefault="00882B84" w:rsidP="00882B84">
            <w:pPr>
              <w:pStyle w:val="ListParagraph"/>
              <w:numPr>
                <w:ilvl w:val="1"/>
                <w:numId w:val="22"/>
              </w:numPr>
              <w:rPr>
                <w:i/>
                <w:lang w:val="en-GB"/>
              </w:rPr>
            </w:pPr>
            <w:proofErr w:type="gramStart"/>
            <w:r w:rsidRPr="00882B84">
              <w:rPr>
                <w:i/>
                <w:lang w:val="en-GB"/>
              </w:rPr>
              <w:t>what</w:t>
            </w:r>
            <w:proofErr w:type="gramEnd"/>
            <w:r w:rsidRPr="00882B84">
              <w:rPr>
                <w:i/>
                <w:lang w:val="en-GB"/>
              </w:rPr>
              <w:t xml:space="preserve"> does NAVI think of the HELCOM approach? Do we too believe this is a promising/suitable approach? Under which circumstances possibly not?</w:t>
            </w:r>
          </w:p>
          <w:p w:rsidR="00882B84" w:rsidRDefault="00882B84" w:rsidP="00882B84">
            <w:pPr>
              <w:ind w:left="786"/>
            </w:pPr>
            <w:r>
              <w:t>This was not discussed.</w:t>
            </w:r>
          </w:p>
          <w:p w:rsidR="00882B84" w:rsidRPr="00882B84" w:rsidRDefault="00882B84" w:rsidP="00882B84"/>
          <w:p w:rsidR="00882B84" w:rsidRPr="00882B84" w:rsidRDefault="00882B84" w:rsidP="00882B84">
            <w:pPr>
              <w:pStyle w:val="ListParagraph"/>
              <w:numPr>
                <w:ilvl w:val="1"/>
                <w:numId w:val="22"/>
              </w:numPr>
              <w:rPr>
                <w:i/>
                <w:lang w:val="en-GB"/>
              </w:rPr>
            </w:pPr>
            <w:r w:rsidRPr="00882B84">
              <w:rPr>
                <w:rFonts w:cs="Tahoma"/>
                <w:i/>
                <w:szCs w:val="26"/>
                <w:lang w:val="en-GB"/>
              </w:rPr>
              <w:t xml:space="preserve">What are NAVI’s views on temporal aggregation? No mention of this topic was made in the report. Is it of relevance to us? </w:t>
            </w:r>
          </w:p>
          <w:p w:rsidR="006F4A59" w:rsidRDefault="00882B84" w:rsidP="006F4A59">
            <w:pPr>
              <w:ind w:left="786"/>
            </w:pPr>
            <w:r>
              <w:t xml:space="preserve">The meaning of the term “temporal aggregation” is not clear. </w:t>
            </w:r>
          </w:p>
          <w:p w:rsidR="00F60634" w:rsidRDefault="006F4A59" w:rsidP="00F60634">
            <w:r w:rsidRPr="006F4A59">
              <w:rPr>
                <w:b/>
              </w:rPr>
              <w:t>Action:</w:t>
            </w:r>
            <w:r>
              <w:t xml:space="preserve"> NAVI members to monitor the discussion on “temporal aggregation”.</w:t>
            </w:r>
          </w:p>
          <w:p w:rsidR="00882B84" w:rsidRDefault="00F60634" w:rsidP="00F60634">
            <w:r w:rsidRPr="00F60634">
              <w:rPr>
                <w:b/>
              </w:rPr>
              <w:t>Action:</w:t>
            </w:r>
            <w:r>
              <w:t xml:space="preserve"> NAV</w:t>
            </w:r>
            <w:r w:rsidR="00554C60">
              <w:t xml:space="preserve">I to keep an eye on how the </w:t>
            </w:r>
            <w:r>
              <w:t>consultant’s report will be taken on in the Common Understanding Document.</w:t>
            </w:r>
            <w:r w:rsidR="006F4A59">
              <w:t xml:space="preserve"> </w:t>
            </w:r>
          </w:p>
        </w:tc>
        <w:tc>
          <w:tcPr>
            <w:tcW w:w="1072" w:type="dxa"/>
          </w:tcPr>
          <w:p w:rsidR="00B321D5" w:rsidRDefault="00B321D5"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B81AD4" w:rsidRDefault="00B81AD4" w:rsidP="00232516"/>
          <w:p w:rsidR="002833CC" w:rsidRDefault="002833CC" w:rsidP="00232516"/>
          <w:p w:rsidR="002833CC" w:rsidRDefault="002833CC" w:rsidP="00232516"/>
          <w:p w:rsidR="002833CC" w:rsidRDefault="002833CC" w:rsidP="00232516"/>
          <w:p w:rsidR="006F4A59" w:rsidRDefault="006F4A59" w:rsidP="00232516"/>
          <w:p w:rsidR="006F4A59" w:rsidRDefault="006F4A59" w:rsidP="00232516"/>
          <w:p w:rsidR="006F4A59" w:rsidRDefault="006F4A59" w:rsidP="00232516"/>
          <w:p w:rsidR="00595D60" w:rsidRDefault="00595D60" w:rsidP="00232516"/>
          <w:p w:rsidR="00595D60" w:rsidRDefault="00595D60" w:rsidP="00232516"/>
          <w:p w:rsidR="006F4A59" w:rsidRDefault="006F4A59" w:rsidP="00232516">
            <w:r>
              <w:t>All</w:t>
            </w:r>
          </w:p>
          <w:p w:rsidR="00F60634" w:rsidRDefault="00F60634" w:rsidP="00232516">
            <w:r>
              <w:t>All</w:t>
            </w:r>
          </w:p>
        </w:tc>
      </w:tr>
      <w:tr w:rsidR="00B321D5" w:rsidTr="00DF524C">
        <w:tc>
          <w:tcPr>
            <w:tcW w:w="8504" w:type="dxa"/>
          </w:tcPr>
          <w:p w:rsidR="00B321D5" w:rsidRDefault="001E0D0B" w:rsidP="003C5D59">
            <w:pPr>
              <w:pStyle w:val="Heading1"/>
              <w:outlineLvl w:val="0"/>
            </w:pPr>
            <w:proofErr w:type="gramStart"/>
            <w:r>
              <w:lastRenderedPageBreak/>
              <w:t>7</w:t>
            </w:r>
            <w:r w:rsidR="00E83100">
              <w:t xml:space="preserve">  </w:t>
            </w:r>
            <w:r w:rsidR="00E83100" w:rsidRPr="00AB5755">
              <w:t>C</w:t>
            </w:r>
            <w:r w:rsidR="003C5D59">
              <w:t>ommon</w:t>
            </w:r>
            <w:proofErr w:type="gramEnd"/>
            <w:r w:rsidR="003C5D59">
              <w:t xml:space="preserve"> understanding of GES</w:t>
            </w:r>
          </w:p>
        </w:tc>
        <w:tc>
          <w:tcPr>
            <w:tcW w:w="1072" w:type="dxa"/>
          </w:tcPr>
          <w:p w:rsidR="00B321D5" w:rsidRDefault="00B321D5" w:rsidP="00232516"/>
        </w:tc>
      </w:tr>
      <w:tr w:rsidR="00B321D5" w:rsidTr="00DF524C">
        <w:trPr>
          <w:trHeight w:val="485"/>
        </w:trPr>
        <w:tc>
          <w:tcPr>
            <w:tcW w:w="8504" w:type="dxa"/>
          </w:tcPr>
          <w:p w:rsidR="00F71531" w:rsidRPr="00F71531" w:rsidRDefault="00F71531" w:rsidP="00F71531">
            <w:pPr>
              <w:rPr>
                <w:i/>
                <w:sz w:val="20"/>
                <w:szCs w:val="20"/>
                <w:lang w:val="en-GB"/>
              </w:rPr>
            </w:pPr>
            <w:r w:rsidRPr="00F71531">
              <w:rPr>
                <w:i/>
                <w:sz w:val="20"/>
                <w:szCs w:val="20"/>
                <w:lang w:val="en-GB"/>
              </w:rPr>
              <w:t xml:space="preserve">The aim is finding a common ground for the interpretations of the MSFD concepts and their implementation relating to: </w:t>
            </w:r>
          </w:p>
          <w:p w:rsidR="00F71531" w:rsidRPr="00F71531" w:rsidRDefault="00F71531" w:rsidP="00F71531">
            <w:pPr>
              <w:pStyle w:val="ListParagraph"/>
              <w:numPr>
                <w:ilvl w:val="0"/>
                <w:numId w:val="26"/>
              </w:numPr>
              <w:rPr>
                <w:i/>
                <w:sz w:val="20"/>
                <w:szCs w:val="20"/>
                <w:lang w:val="en-GB"/>
              </w:rPr>
            </w:pPr>
            <w:r w:rsidRPr="00F71531">
              <w:rPr>
                <w:i/>
                <w:sz w:val="20"/>
                <w:szCs w:val="20"/>
                <w:lang w:val="en-GB"/>
              </w:rPr>
              <w:t>Art. 8 – assessments</w:t>
            </w:r>
          </w:p>
          <w:p w:rsidR="00F71531" w:rsidRPr="00F71531" w:rsidRDefault="00F71531" w:rsidP="00F71531">
            <w:pPr>
              <w:pStyle w:val="ListParagraph"/>
              <w:numPr>
                <w:ilvl w:val="0"/>
                <w:numId w:val="26"/>
              </w:numPr>
              <w:rPr>
                <w:i/>
                <w:sz w:val="20"/>
                <w:szCs w:val="20"/>
                <w:lang w:val="en-GB"/>
              </w:rPr>
            </w:pPr>
            <w:r w:rsidRPr="00F71531">
              <w:rPr>
                <w:i/>
                <w:sz w:val="20"/>
                <w:szCs w:val="20"/>
                <w:lang w:val="en-GB"/>
              </w:rPr>
              <w:t>Art. 9 – good environmental status</w:t>
            </w:r>
          </w:p>
          <w:p w:rsidR="00F71531" w:rsidRPr="00F71531" w:rsidRDefault="00F71531" w:rsidP="00F71531">
            <w:pPr>
              <w:pStyle w:val="ListParagraph"/>
              <w:numPr>
                <w:ilvl w:val="0"/>
                <w:numId w:val="26"/>
              </w:numPr>
              <w:rPr>
                <w:i/>
                <w:sz w:val="20"/>
                <w:szCs w:val="20"/>
                <w:lang w:val="en-GB"/>
              </w:rPr>
            </w:pPr>
            <w:r w:rsidRPr="00F71531">
              <w:rPr>
                <w:i/>
                <w:sz w:val="20"/>
                <w:szCs w:val="20"/>
                <w:lang w:val="en-GB"/>
              </w:rPr>
              <w:t xml:space="preserve">Art. 10 – </w:t>
            </w:r>
            <w:proofErr w:type="gramStart"/>
            <w:r w:rsidRPr="00F71531">
              <w:rPr>
                <w:i/>
                <w:sz w:val="20"/>
                <w:szCs w:val="20"/>
                <w:lang w:val="en-GB"/>
              </w:rPr>
              <w:t>environmental</w:t>
            </w:r>
            <w:proofErr w:type="gramEnd"/>
            <w:r w:rsidRPr="00F71531">
              <w:rPr>
                <w:i/>
                <w:sz w:val="20"/>
                <w:szCs w:val="20"/>
                <w:lang w:val="en-GB"/>
              </w:rPr>
              <w:t xml:space="preserve"> targets.</w:t>
            </w:r>
          </w:p>
          <w:p w:rsidR="00F71531" w:rsidRPr="00F71531" w:rsidRDefault="00F71531" w:rsidP="00F71531">
            <w:pPr>
              <w:ind w:left="360"/>
              <w:rPr>
                <w:i/>
                <w:sz w:val="20"/>
                <w:szCs w:val="20"/>
                <w:lang w:val="en-GB"/>
              </w:rPr>
            </w:pPr>
            <w:r w:rsidRPr="00F71531">
              <w:rPr>
                <w:i/>
                <w:sz w:val="20"/>
                <w:szCs w:val="20"/>
                <w:lang w:val="en-GB"/>
              </w:rPr>
              <w:t>Findings in the Commission Staff Working Document (2014) with regard to GES:</w:t>
            </w:r>
          </w:p>
          <w:p w:rsidR="00F71531" w:rsidRPr="00F71531" w:rsidRDefault="00F71531" w:rsidP="00F71531">
            <w:pPr>
              <w:numPr>
                <w:ilvl w:val="0"/>
                <w:numId w:val="23"/>
              </w:numPr>
              <w:rPr>
                <w:i/>
                <w:sz w:val="20"/>
                <w:szCs w:val="20"/>
                <w:lang w:val="en-GB"/>
              </w:rPr>
            </w:pPr>
            <w:proofErr w:type="gramStart"/>
            <w:r w:rsidRPr="00F71531">
              <w:rPr>
                <w:i/>
                <w:sz w:val="20"/>
                <w:szCs w:val="20"/>
                <w:lang w:val="en-GB"/>
              </w:rPr>
              <w:t>diversity</w:t>
            </w:r>
            <w:proofErr w:type="gramEnd"/>
            <w:r w:rsidRPr="00F71531">
              <w:rPr>
                <w:i/>
                <w:sz w:val="20"/>
                <w:szCs w:val="20"/>
                <w:lang w:val="en-GB"/>
              </w:rPr>
              <w:t xml:space="preserve"> in interpretation of Art. 9 and 10 MSFD and their application – see Annex 4 of CSWD for Commission services‘ interpretation;</w:t>
            </w:r>
          </w:p>
          <w:p w:rsidR="00F71531" w:rsidRPr="00F71531" w:rsidRDefault="00F71531" w:rsidP="00F71531">
            <w:pPr>
              <w:numPr>
                <w:ilvl w:val="0"/>
                <w:numId w:val="23"/>
              </w:numPr>
              <w:rPr>
                <w:i/>
                <w:sz w:val="20"/>
                <w:szCs w:val="20"/>
                <w:lang w:val="en-GB"/>
              </w:rPr>
            </w:pPr>
            <w:r w:rsidRPr="00F71531">
              <w:rPr>
                <w:i/>
                <w:sz w:val="20"/>
                <w:szCs w:val="20"/>
                <w:lang w:val="en-GB"/>
              </w:rPr>
              <w:t xml:space="preserve">GES definitions mostly not measurable and enforceable – lack of common philosophy </w:t>
            </w:r>
            <w:r w:rsidRPr="00F71531">
              <w:rPr>
                <w:i/>
                <w:sz w:val="20"/>
                <w:szCs w:val="20"/>
                <w:lang w:val="en-GB"/>
              </w:rPr>
              <w:lastRenderedPageBreak/>
              <w:t>(‘reference levels‘ and ‘acceptable deviation‘) for defining a common ambition;</w:t>
            </w:r>
          </w:p>
          <w:p w:rsidR="00F71531" w:rsidRPr="00F71531" w:rsidRDefault="00F71531" w:rsidP="00F71531">
            <w:pPr>
              <w:numPr>
                <w:ilvl w:val="0"/>
                <w:numId w:val="23"/>
              </w:numPr>
              <w:rPr>
                <w:i/>
                <w:sz w:val="20"/>
                <w:szCs w:val="20"/>
                <w:lang w:val="en-GB"/>
              </w:rPr>
            </w:pPr>
            <w:r w:rsidRPr="00F71531">
              <w:rPr>
                <w:i/>
                <w:sz w:val="20"/>
                <w:szCs w:val="20"/>
                <w:lang w:val="en-GB"/>
              </w:rPr>
              <w:t>variety of nature and contents of GES means lack of coherence and comparability;</w:t>
            </w:r>
          </w:p>
          <w:p w:rsidR="00F71531" w:rsidRPr="00F71531" w:rsidRDefault="00F71531" w:rsidP="00F71531">
            <w:pPr>
              <w:numPr>
                <w:ilvl w:val="0"/>
                <w:numId w:val="23"/>
              </w:numPr>
              <w:rPr>
                <w:i/>
                <w:sz w:val="20"/>
                <w:szCs w:val="20"/>
                <w:lang w:val="en-GB"/>
              </w:rPr>
            </w:pPr>
            <w:r w:rsidRPr="00F71531">
              <w:rPr>
                <w:i/>
                <w:sz w:val="20"/>
                <w:szCs w:val="20"/>
                <w:lang w:val="en-GB"/>
              </w:rPr>
              <w:t>“</w:t>
            </w:r>
            <w:proofErr w:type="gramStart"/>
            <w:r w:rsidRPr="00F71531">
              <w:rPr>
                <w:i/>
                <w:sz w:val="20"/>
                <w:szCs w:val="20"/>
                <w:lang w:val="en-GB"/>
              </w:rPr>
              <w:t>pick-and-choose</w:t>
            </w:r>
            <w:proofErr w:type="gramEnd"/>
            <w:r w:rsidRPr="00F71531">
              <w:rPr>
                <w:i/>
                <w:sz w:val="20"/>
                <w:szCs w:val="20"/>
                <w:lang w:val="en-GB"/>
              </w:rPr>
              <w:t>“ approach of MS in relation to RSC work and other EU standards.</w:t>
            </w:r>
          </w:p>
          <w:p w:rsidR="00F71531" w:rsidRPr="00F71531" w:rsidRDefault="00F71531" w:rsidP="00F71531">
            <w:pPr>
              <w:ind w:left="360"/>
              <w:rPr>
                <w:i/>
                <w:sz w:val="20"/>
                <w:szCs w:val="20"/>
                <w:lang w:val="en-GB"/>
              </w:rPr>
            </w:pPr>
            <w:r w:rsidRPr="00F71531">
              <w:rPr>
                <w:i/>
                <w:sz w:val="20"/>
                <w:szCs w:val="20"/>
                <w:lang w:val="en-GB"/>
              </w:rPr>
              <w:t>In the last WG GES meeting there was a big discussion about GES descriptors and environmental targets, the differences between the two and the terminology used to describe the distinction between both. Often the term ‘indicator’ is used in relation to both, but according to COM this is incorrect. Indicators are related to environmental targets only. Is it important for NAVI to partake in this discussion? If so, we can provide examples to COM of where this interpretation does/does not work.</w:t>
            </w:r>
          </w:p>
          <w:p w:rsidR="00F71531" w:rsidRPr="00F71531" w:rsidRDefault="00F71531" w:rsidP="00F71531">
            <w:pPr>
              <w:ind w:left="360"/>
              <w:rPr>
                <w:i/>
                <w:sz w:val="20"/>
                <w:szCs w:val="20"/>
              </w:rPr>
            </w:pPr>
            <w:r w:rsidRPr="00F71531">
              <w:rPr>
                <w:i/>
                <w:sz w:val="20"/>
                <w:szCs w:val="20"/>
                <w:lang w:val="en-GB"/>
              </w:rPr>
              <w:br/>
            </w:r>
            <w:r w:rsidRPr="00F71531">
              <w:rPr>
                <w:i/>
                <w:sz w:val="20"/>
                <w:szCs w:val="20"/>
              </w:rPr>
              <w:t>In WG GES it was reported that the revision work on the document will include considerations on the:</w:t>
            </w:r>
          </w:p>
          <w:p w:rsidR="00F71531" w:rsidRPr="00F71531" w:rsidRDefault="00F71531" w:rsidP="00F71531">
            <w:pPr>
              <w:numPr>
                <w:ilvl w:val="0"/>
                <w:numId w:val="24"/>
              </w:numPr>
              <w:rPr>
                <w:i/>
                <w:sz w:val="20"/>
                <w:szCs w:val="20"/>
                <w:lang w:val="de-DE"/>
              </w:rPr>
            </w:pPr>
            <w:r w:rsidRPr="00F71531">
              <w:rPr>
                <w:i/>
                <w:sz w:val="20"/>
                <w:szCs w:val="20"/>
                <w:lang w:val="de-DE"/>
              </w:rPr>
              <w:t>Precautionary principle</w:t>
            </w:r>
          </w:p>
          <w:p w:rsidR="00F71531" w:rsidRPr="00F71531" w:rsidRDefault="00F71531" w:rsidP="00F71531">
            <w:pPr>
              <w:numPr>
                <w:ilvl w:val="0"/>
                <w:numId w:val="24"/>
              </w:numPr>
              <w:rPr>
                <w:i/>
                <w:sz w:val="20"/>
                <w:szCs w:val="20"/>
                <w:lang w:val="de-DE"/>
              </w:rPr>
            </w:pPr>
            <w:r w:rsidRPr="00F71531">
              <w:rPr>
                <w:i/>
                <w:sz w:val="20"/>
                <w:szCs w:val="20"/>
                <w:lang w:val="de-DE"/>
              </w:rPr>
              <w:t>Risk-based approach</w:t>
            </w:r>
          </w:p>
          <w:p w:rsidR="00F71531" w:rsidRPr="00F71531" w:rsidRDefault="00F71531" w:rsidP="00F71531">
            <w:pPr>
              <w:numPr>
                <w:ilvl w:val="0"/>
                <w:numId w:val="24"/>
              </w:numPr>
              <w:rPr>
                <w:i/>
                <w:sz w:val="20"/>
                <w:szCs w:val="20"/>
                <w:lang w:val="de-DE"/>
              </w:rPr>
            </w:pPr>
            <w:r w:rsidRPr="00F71531">
              <w:rPr>
                <w:i/>
                <w:sz w:val="20"/>
                <w:szCs w:val="20"/>
                <w:lang w:val="de-DE"/>
              </w:rPr>
              <w:t>GES and MPAs</w:t>
            </w:r>
          </w:p>
          <w:p w:rsidR="00F71531" w:rsidRPr="00F71531" w:rsidRDefault="00F71531" w:rsidP="00F71531">
            <w:pPr>
              <w:numPr>
                <w:ilvl w:val="0"/>
                <w:numId w:val="24"/>
              </w:numPr>
              <w:rPr>
                <w:i/>
                <w:sz w:val="20"/>
                <w:szCs w:val="20"/>
              </w:rPr>
            </w:pPr>
            <w:r w:rsidRPr="00F71531">
              <w:rPr>
                <w:i/>
                <w:sz w:val="20"/>
                <w:szCs w:val="20"/>
              </w:rPr>
              <w:t>Geographic scales for assessments, GES and targets</w:t>
            </w:r>
          </w:p>
          <w:p w:rsidR="00F71531" w:rsidRPr="00F71531" w:rsidRDefault="00F71531" w:rsidP="00F71531">
            <w:pPr>
              <w:numPr>
                <w:ilvl w:val="0"/>
                <w:numId w:val="24"/>
              </w:numPr>
              <w:rPr>
                <w:i/>
                <w:sz w:val="20"/>
                <w:szCs w:val="20"/>
                <w:lang w:val="de-DE"/>
              </w:rPr>
            </w:pPr>
            <w:r w:rsidRPr="00F71531">
              <w:rPr>
                <w:i/>
                <w:sz w:val="20"/>
                <w:szCs w:val="20"/>
                <w:lang w:val="de-DE"/>
              </w:rPr>
              <w:t>Assessment philosophy</w:t>
            </w:r>
          </w:p>
          <w:p w:rsidR="00F71531" w:rsidRPr="00F71531" w:rsidRDefault="00F71531" w:rsidP="00F71531">
            <w:pPr>
              <w:numPr>
                <w:ilvl w:val="0"/>
                <w:numId w:val="24"/>
              </w:numPr>
              <w:rPr>
                <w:i/>
                <w:sz w:val="20"/>
                <w:szCs w:val="20"/>
                <w:lang w:val="de-DE"/>
              </w:rPr>
            </w:pPr>
            <w:r w:rsidRPr="00F71531">
              <w:rPr>
                <w:i/>
                <w:sz w:val="20"/>
                <w:szCs w:val="20"/>
                <w:lang w:val="de-DE"/>
              </w:rPr>
              <w:t>Aggregation issues</w:t>
            </w:r>
          </w:p>
          <w:p w:rsidR="00F71531" w:rsidRPr="00F71531" w:rsidRDefault="00F71531" w:rsidP="00F71531">
            <w:pPr>
              <w:ind w:left="360"/>
              <w:rPr>
                <w:i/>
                <w:sz w:val="20"/>
                <w:szCs w:val="20"/>
                <w:lang w:val="en-GB"/>
              </w:rPr>
            </w:pPr>
          </w:p>
          <w:p w:rsidR="00F71531" w:rsidRPr="00F71531" w:rsidRDefault="00F71531" w:rsidP="00F71531">
            <w:pPr>
              <w:ind w:left="360"/>
              <w:rPr>
                <w:i/>
                <w:sz w:val="20"/>
                <w:szCs w:val="20"/>
                <w:lang w:val="en-GB"/>
              </w:rPr>
            </w:pPr>
            <w:r w:rsidRPr="00F71531">
              <w:rPr>
                <w:i/>
                <w:sz w:val="20"/>
                <w:szCs w:val="20"/>
                <w:lang w:val="en-GB"/>
              </w:rPr>
              <w:t xml:space="preserve">We can provide comments to COM on the draft document. Especially on the examples and definitions given in the document. The deadline for submitting comments is 11 April, so please send me your comments by </w:t>
            </w:r>
            <w:r w:rsidRPr="00F71531">
              <w:rPr>
                <w:b/>
                <w:bCs/>
                <w:i/>
                <w:sz w:val="20"/>
                <w:szCs w:val="20"/>
                <w:lang w:val="en-GB"/>
              </w:rPr>
              <w:t>Wednesday 9 April</w:t>
            </w:r>
            <w:r w:rsidRPr="00F71531">
              <w:rPr>
                <w:i/>
                <w:sz w:val="20"/>
                <w:szCs w:val="20"/>
                <w:lang w:val="en-GB"/>
              </w:rPr>
              <w:t xml:space="preserve"> the latest.  I suggest we focus only on those issues concerning the descriptors that are of relevance to us (D2, D5, D6, D7, D8, D10 and D11). </w:t>
            </w:r>
          </w:p>
          <w:p w:rsidR="00F71531" w:rsidRPr="00F71531" w:rsidRDefault="00F71531" w:rsidP="00F71531">
            <w:pPr>
              <w:ind w:left="360"/>
              <w:rPr>
                <w:i/>
                <w:sz w:val="20"/>
                <w:szCs w:val="20"/>
                <w:lang w:val="en-GB"/>
              </w:rPr>
            </w:pPr>
            <w:r w:rsidRPr="00F71531">
              <w:rPr>
                <w:i/>
                <w:sz w:val="20"/>
                <w:szCs w:val="20"/>
                <w:lang w:val="en-GB"/>
              </w:rPr>
              <w:t>Further we need to decide if this topic is of importance to us, and how we want to proceed. Perhaps we want to focus on certain aspects of the topic only?</w:t>
            </w:r>
          </w:p>
          <w:p w:rsidR="00530196" w:rsidRDefault="00530196" w:rsidP="00F71531"/>
          <w:p w:rsidR="00530196" w:rsidRPr="00530196" w:rsidRDefault="00530196" w:rsidP="00F71531">
            <w:r w:rsidRPr="00530196">
              <w:t xml:space="preserve">It was agreed that </w:t>
            </w:r>
            <w:r>
              <w:t xml:space="preserve">checking the monitoring </w:t>
            </w:r>
            <w:proofErr w:type="spellStart"/>
            <w:r>
              <w:t>programmes</w:t>
            </w:r>
            <w:proofErr w:type="spellEnd"/>
            <w:r>
              <w:t xml:space="preserve"> was more important at the moment and NAVI should focus its efforts on checking those.</w:t>
            </w:r>
          </w:p>
          <w:p w:rsidR="00530196" w:rsidRDefault="00530196" w:rsidP="00F71531">
            <w:pPr>
              <w:rPr>
                <w:b/>
              </w:rPr>
            </w:pPr>
          </w:p>
          <w:p w:rsidR="00C06C42" w:rsidRDefault="00C06C42" w:rsidP="00F71531">
            <w:pPr>
              <w:rPr>
                <w:b/>
              </w:rPr>
            </w:pPr>
            <w:r>
              <w:rPr>
                <w:b/>
              </w:rPr>
              <w:t xml:space="preserve">Action: </w:t>
            </w:r>
            <w:r w:rsidRPr="00C06C42">
              <w:t>Each sector to take its own responsibility</w:t>
            </w:r>
            <w:r>
              <w:t xml:space="preserve"> in scrutinizing the document for issues of relevance.</w:t>
            </w:r>
          </w:p>
          <w:p w:rsidR="009B2DE6" w:rsidRDefault="00F71531" w:rsidP="00F71531">
            <w:r w:rsidRPr="00F71531">
              <w:rPr>
                <w:b/>
              </w:rPr>
              <w:t>Action</w:t>
            </w:r>
            <w:r>
              <w:rPr>
                <w:b/>
              </w:rPr>
              <w:t xml:space="preserve">: </w:t>
            </w:r>
            <w:r w:rsidRPr="00F71531">
              <w:t>AC to circulate</w:t>
            </w:r>
            <w:r>
              <w:t xml:space="preserve"> the NAVI comments prepared on the previous version of the CUD back in 2011. NVM to check how those issues are handled in this new version and re</w:t>
            </w:r>
            <w:r w:rsidR="00197C82">
              <w:t xml:space="preserve">assert </w:t>
            </w:r>
            <w:r>
              <w:t xml:space="preserve">comments that have not been addressed </w:t>
            </w:r>
            <w:r w:rsidR="00C06C42">
              <w:t>in an adequate manner</w:t>
            </w:r>
            <w:r w:rsidR="00197C82">
              <w:t>.</w:t>
            </w:r>
            <w:r w:rsidR="00C06C42">
              <w:t xml:space="preserve"> </w:t>
            </w:r>
            <w:r w:rsidR="00197C82">
              <w:t xml:space="preserve">Focus: </w:t>
            </w:r>
            <w:r w:rsidR="00C06C42">
              <w:t>precautionary principle</w:t>
            </w:r>
            <w:r w:rsidR="00197C82">
              <w:t>; pressure based targets</w:t>
            </w:r>
            <w:r w:rsidR="00111E56">
              <w:t>; possibility of adaptive m</w:t>
            </w:r>
            <w:r w:rsidR="00FC7C9E">
              <w:t>anagement</w:t>
            </w:r>
            <w:r w:rsidR="00111E56">
              <w:t>.</w:t>
            </w:r>
          </w:p>
          <w:p w:rsidR="00C06C42" w:rsidRDefault="00C06C42" w:rsidP="00F71531"/>
          <w:p w:rsidR="00C06C42" w:rsidRDefault="00C06C42" w:rsidP="00F71531">
            <w:r w:rsidRPr="00C06C42">
              <w:t xml:space="preserve">Erik Mink said that some years ago the COM published a good and useful </w:t>
            </w:r>
            <w:r>
              <w:t>Communication on the Precautionary Principle.</w:t>
            </w:r>
          </w:p>
          <w:p w:rsidR="00C06C42" w:rsidRPr="00C06C42" w:rsidRDefault="00C06C42" w:rsidP="00F71531"/>
          <w:p w:rsidR="00C06C42" w:rsidRPr="00F71531" w:rsidRDefault="00C06C42" w:rsidP="00F71531">
            <w:pPr>
              <w:rPr>
                <w:b/>
              </w:rPr>
            </w:pPr>
            <w:r>
              <w:rPr>
                <w:b/>
              </w:rPr>
              <w:t xml:space="preserve">Action: </w:t>
            </w:r>
            <w:r w:rsidRPr="00C06C42">
              <w:t>Eric to write a 2 page summary</w:t>
            </w:r>
            <w:r w:rsidR="00D437A9">
              <w:t xml:space="preserve"> in the Precautionary Principle for NAVI.</w:t>
            </w:r>
          </w:p>
        </w:tc>
        <w:tc>
          <w:tcPr>
            <w:tcW w:w="1072" w:type="dxa"/>
          </w:tcPr>
          <w:p w:rsidR="00B321D5" w:rsidRDefault="00B321D5"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F71531" w:rsidRDefault="00F71531" w:rsidP="00232516"/>
          <w:p w:rsidR="00C06C42" w:rsidRDefault="00C06C42" w:rsidP="00232516"/>
          <w:p w:rsidR="00C06C42" w:rsidRDefault="00C06C42" w:rsidP="00232516"/>
          <w:p w:rsidR="00C06C42" w:rsidRDefault="00C06C42" w:rsidP="00232516"/>
          <w:p w:rsidR="00C06C42" w:rsidRDefault="00C06C42" w:rsidP="00232516"/>
          <w:p w:rsidR="00C06C42" w:rsidRDefault="00C06C42" w:rsidP="00232516"/>
          <w:p w:rsidR="00530196" w:rsidRDefault="00530196" w:rsidP="00232516"/>
          <w:p w:rsidR="00530196" w:rsidRDefault="00530196" w:rsidP="00232516"/>
          <w:p w:rsidR="00530196" w:rsidRDefault="00530196" w:rsidP="00232516"/>
          <w:p w:rsidR="001E0D0B" w:rsidRDefault="001E0D0B" w:rsidP="00232516"/>
          <w:p w:rsidR="001E0D0B" w:rsidRDefault="001E0D0B" w:rsidP="00232516"/>
          <w:p w:rsidR="00530196" w:rsidRDefault="00530196" w:rsidP="00232516"/>
          <w:p w:rsidR="00C06C42" w:rsidRDefault="00C06C42" w:rsidP="00232516">
            <w:r>
              <w:t>All</w:t>
            </w:r>
          </w:p>
          <w:p w:rsidR="00C06C42" w:rsidRDefault="00C06C42" w:rsidP="00232516"/>
          <w:p w:rsidR="00F71531" w:rsidRDefault="00F71531" w:rsidP="00232516">
            <w:r>
              <w:t xml:space="preserve">AC, </w:t>
            </w:r>
            <w:proofErr w:type="spellStart"/>
            <w:r>
              <w:t>NvM</w:t>
            </w:r>
            <w:proofErr w:type="spellEnd"/>
          </w:p>
          <w:p w:rsidR="00C06C42" w:rsidRDefault="00C06C42" w:rsidP="00232516"/>
          <w:p w:rsidR="00C06C42" w:rsidRDefault="00C06C42" w:rsidP="00232516"/>
          <w:p w:rsidR="00C06C42" w:rsidRDefault="00C06C42" w:rsidP="00232516"/>
          <w:p w:rsidR="00C06C42" w:rsidRDefault="00C06C42" w:rsidP="00232516"/>
          <w:p w:rsidR="00D437A9" w:rsidRDefault="00D437A9" w:rsidP="00232516"/>
          <w:p w:rsidR="00C06C42" w:rsidRDefault="00C06C42" w:rsidP="00232516"/>
          <w:p w:rsidR="00C06C42" w:rsidRDefault="00C06C42" w:rsidP="00232516"/>
          <w:p w:rsidR="00C06C42" w:rsidRDefault="00C06C42" w:rsidP="00232516">
            <w:r>
              <w:t>EM</w:t>
            </w:r>
          </w:p>
        </w:tc>
      </w:tr>
      <w:tr w:rsidR="00B321D5" w:rsidTr="00DF524C">
        <w:tc>
          <w:tcPr>
            <w:tcW w:w="8504" w:type="dxa"/>
          </w:tcPr>
          <w:p w:rsidR="00B321D5" w:rsidRDefault="00FC32E4" w:rsidP="00FC7C9E">
            <w:pPr>
              <w:pStyle w:val="Heading1"/>
              <w:outlineLvl w:val="0"/>
            </w:pPr>
            <w:proofErr w:type="gramStart"/>
            <w:r>
              <w:lastRenderedPageBreak/>
              <w:t>8</w:t>
            </w:r>
            <w:r w:rsidR="009B2DE6">
              <w:t xml:space="preserve">  </w:t>
            </w:r>
            <w:r w:rsidR="00111E56">
              <w:t>progr</w:t>
            </w:r>
            <w:r w:rsidR="00FC7C9E">
              <w:t>ammes</w:t>
            </w:r>
            <w:proofErr w:type="gramEnd"/>
            <w:r w:rsidR="00FC7C9E">
              <w:t xml:space="preserve"> of measures</w:t>
            </w:r>
            <w:r>
              <w:t xml:space="preserve"> (Po</w:t>
            </w:r>
            <w:r w:rsidR="009B5B78">
              <w:t>M)</w:t>
            </w:r>
          </w:p>
        </w:tc>
        <w:tc>
          <w:tcPr>
            <w:tcW w:w="1072" w:type="dxa"/>
          </w:tcPr>
          <w:p w:rsidR="00B321D5" w:rsidRDefault="00B321D5" w:rsidP="00232516"/>
        </w:tc>
      </w:tr>
      <w:tr w:rsidR="00B321D5" w:rsidTr="00DF524C">
        <w:tc>
          <w:tcPr>
            <w:tcW w:w="8504" w:type="dxa"/>
          </w:tcPr>
          <w:p w:rsidR="00B321D5" w:rsidRDefault="00B321D5" w:rsidP="00232516"/>
          <w:p w:rsidR="009B5B78" w:rsidRPr="009B5B78" w:rsidRDefault="009B5B78" w:rsidP="009B5B78">
            <w:pPr>
              <w:rPr>
                <w:i/>
                <w:sz w:val="20"/>
                <w:szCs w:val="20"/>
                <w:lang w:val="en-GB"/>
              </w:rPr>
            </w:pPr>
            <w:r w:rsidRPr="009B5B78">
              <w:rPr>
                <w:rFonts w:cs="Arial"/>
                <w:i/>
                <w:sz w:val="20"/>
                <w:szCs w:val="20"/>
                <w:lang w:val="en-GB"/>
              </w:rPr>
              <w:t xml:space="preserve">Member States are currently going through a process of identifying existing and potential new measures and preparing the methodology for selecting measures to be developed in the </w:t>
            </w:r>
            <w:proofErr w:type="spellStart"/>
            <w:r w:rsidRPr="009B5B78">
              <w:rPr>
                <w:rFonts w:cs="Arial"/>
                <w:i/>
                <w:sz w:val="20"/>
                <w:szCs w:val="20"/>
                <w:lang w:val="en-GB"/>
              </w:rPr>
              <w:t>PoM</w:t>
            </w:r>
            <w:proofErr w:type="spellEnd"/>
            <w:r w:rsidRPr="009B5B78">
              <w:rPr>
                <w:rFonts w:cs="Arial"/>
                <w:i/>
                <w:sz w:val="20"/>
                <w:szCs w:val="20"/>
                <w:lang w:val="en-GB"/>
              </w:rPr>
              <w:t>.</w:t>
            </w:r>
            <w:r w:rsidRPr="009B5B78">
              <w:rPr>
                <w:i/>
                <w:sz w:val="20"/>
                <w:szCs w:val="20"/>
                <w:lang w:val="en-GB"/>
              </w:rPr>
              <w:t xml:space="preserve"> NAVI sent comments to COM on </w:t>
            </w:r>
            <w:r w:rsidRPr="009B5B78">
              <w:rPr>
                <w:i/>
                <w:iCs/>
                <w:sz w:val="20"/>
                <w:szCs w:val="20"/>
                <w:lang w:val="en-GB"/>
              </w:rPr>
              <w:t xml:space="preserve">the </w:t>
            </w:r>
            <w:proofErr w:type="spellStart"/>
            <w:r w:rsidRPr="009B5B78">
              <w:rPr>
                <w:i/>
                <w:iCs/>
                <w:sz w:val="20"/>
                <w:szCs w:val="20"/>
                <w:lang w:val="en-GB"/>
              </w:rPr>
              <w:t>PoM</w:t>
            </w:r>
            <w:proofErr w:type="spellEnd"/>
            <w:r w:rsidRPr="009B5B78">
              <w:rPr>
                <w:i/>
                <w:sz w:val="20"/>
                <w:szCs w:val="20"/>
                <w:lang w:val="en-GB"/>
              </w:rPr>
              <w:t xml:space="preserve"> document version 6, but these have not been integrated into the document yet. At least not in version 7. Expectation was that this would be done before April so that an updated version could be discussed at WG ESA.  So far, no updated version has been distributed. I will keep an eye on this and send you the updated version once it becomes available.</w:t>
            </w:r>
          </w:p>
          <w:p w:rsidR="009B5B78" w:rsidRDefault="009B5B78" w:rsidP="009B5B78">
            <w:pPr>
              <w:rPr>
                <w:sz w:val="20"/>
                <w:szCs w:val="20"/>
                <w:lang w:val="en-GB"/>
              </w:rPr>
            </w:pPr>
            <w:r w:rsidRPr="009B5B78">
              <w:rPr>
                <w:i/>
                <w:sz w:val="20"/>
                <w:szCs w:val="20"/>
                <w:lang w:val="en-GB"/>
              </w:rPr>
              <w:t xml:space="preserve">Jan has remarked that regarding shipping almost nothing is currently being said about navigation </w:t>
            </w:r>
            <w:r w:rsidRPr="009B5B78">
              <w:rPr>
                <w:i/>
                <w:sz w:val="20"/>
                <w:szCs w:val="20"/>
                <w:lang w:val="en-GB"/>
              </w:rPr>
              <w:lastRenderedPageBreak/>
              <w:t xml:space="preserve">infrastructure or dredging. However, things can change, so we should not take our eye off the ball. </w:t>
            </w:r>
          </w:p>
          <w:p w:rsidR="009B5B78" w:rsidRDefault="009B5B78" w:rsidP="009B5B78">
            <w:pPr>
              <w:rPr>
                <w:sz w:val="20"/>
                <w:szCs w:val="20"/>
                <w:lang w:val="en-GB"/>
              </w:rPr>
            </w:pPr>
          </w:p>
          <w:p w:rsidR="005C1C28" w:rsidRPr="005D2A7F" w:rsidRDefault="005C1C28" w:rsidP="009B5B78">
            <w:pPr>
              <w:rPr>
                <w:lang w:val="en-GB"/>
              </w:rPr>
            </w:pPr>
            <w:r w:rsidRPr="005D2A7F">
              <w:rPr>
                <w:lang w:val="en-GB"/>
              </w:rPr>
              <w:t xml:space="preserve">NAVI was wondering about the status of the COM document circulated for the MSCG meeting in February entitled “Programme of Measures: progress report and state of play of </w:t>
            </w:r>
            <w:proofErr w:type="spellStart"/>
            <w:r w:rsidRPr="005D2A7F">
              <w:rPr>
                <w:lang w:val="en-GB"/>
              </w:rPr>
              <w:t>PoM</w:t>
            </w:r>
            <w:proofErr w:type="spellEnd"/>
            <w:r w:rsidRPr="005D2A7F">
              <w:rPr>
                <w:lang w:val="en-GB"/>
              </w:rPr>
              <w:t xml:space="preserve"> recommendation</w:t>
            </w:r>
            <w:r w:rsidR="005D2A7F">
              <w:rPr>
                <w:lang w:val="en-GB"/>
              </w:rPr>
              <w:t>” (MSCG12/2014/4)</w:t>
            </w:r>
            <w:r w:rsidRPr="005D2A7F">
              <w:rPr>
                <w:lang w:val="en-GB"/>
              </w:rPr>
              <w:t xml:space="preserve">. </w:t>
            </w:r>
          </w:p>
          <w:p w:rsidR="005D2A7F" w:rsidRDefault="005D2A7F" w:rsidP="009B5B78">
            <w:pPr>
              <w:rPr>
                <w:sz w:val="20"/>
                <w:szCs w:val="20"/>
                <w:lang w:val="en-GB"/>
              </w:rPr>
            </w:pPr>
          </w:p>
          <w:p w:rsidR="000C2A75" w:rsidRDefault="005D2A7F" w:rsidP="009B5B78">
            <w:pPr>
              <w:rPr>
                <w:sz w:val="20"/>
                <w:szCs w:val="20"/>
                <w:lang w:val="en-GB"/>
              </w:rPr>
            </w:pPr>
            <w:r>
              <w:rPr>
                <w:sz w:val="20"/>
                <w:szCs w:val="20"/>
                <w:lang w:val="en-GB"/>
              </w:rPr>
              <w:t>Definition of EU Recommendation</w:t>
            </w:r>
          </w:p>
          <w:p w:rsidR="005D2A7F" w:rsidRDefault="005D2A7F" w:rsidP="009B5B78">
            <w:pPr>
              <w:rPr>
                <w:sz w:val="20"/>
                <w:szCs w:val="20"/>
                <w:lang w:val="en-GB"/>
              </w:rPr>
            </w:pPr>
            <w:r>
              <w:rPr>
                <w:sz w:val="20"/>
                <w:szCs w:val="20"/>
                <w:lang w:val="en-GB"/>
              </w:rPr>
              <w:t>(</w:t>
            </w:r>
            <w:r w:rsidRPr="005D2A7F">
              <w:rPr>
                <w:sz w:val="20"/>
                <w:szCs w:val="20"/>
                <w:lang w:val="en-GB"/>
              </w:rPr>
              <w:t>http://en.wikipedia.org/wiki/Recommendation_(European_Union)</w:t>
            </w:r>
            <w:r>
              <w:rPr>
                <w:sz w:val="20"/>
                <w:szCs w:val="20"/>
                <w:lang w:val="en-GB"/>
              </w:rPr>
              <w:t>)</w:t>
            </w:r>
          </w:p>
          <w:p w:rsidR="005D2A7F" w:rsidRDefault="005D2A7F" w:rsidP="009B5B78">
            <w:pPr>
              <w:rPr>
                <w:lang w:val="en"/>
              </w:rPr>
            </w:pPr>
            <w:r>
              <w:rPr>
                <w:lang w:val="en"/>
              </w:rPr>
              <w:t xml:space="preserve">“Recommendations are without </w:t>
            </w:r>
            <w:hyperlink r:id="rId10" w:tooltip="Legal force" w:history="1">
              <w:r>
                <w:rPr>
                  <w:rStyle w:val="Hyperlink"/>
                  <w:lang w:val="en"/>
                </w:rPr>
                <w:t>legal force</w:t>
              </w:r>
            </w:hyperlink>
            <w:r>
              <w:rPr>
                <w:lang w:val="en"/>
              </w:rPr>
              <w:t xml:space="preserve"> but are negotiated and voted on according to the </w:t>
            </w:r>
            <w:hyperlink r:id="rId11" w:tooltip="European Union legislative procedure" w:history="1">
              <w:r>
                <w:rPr>
                  <w:rStyle w:val="Hyperlink"/>
                  <w:lang w:val="en"/>
                </w:rPr>
                <w:t>appropriate procedure</w:t>
              </w:r>
            </w:hyperlink>
            <w:r>
              <w:rPr>
                <w:lang w:val="en"/>
              </w:rPr>
              <w:t xml:space="preserve">. Recommendations differ from </w:t>
            </w:r>
            <w:hyperlink r:id="rId12" w:tooltip="Regulation (European Union)" w:history="1">
              <w:r>
                <w:rPr>
                  <w:rStyle w:val="Hyperlink"/>
                  <w:lang w:val="en"/>
                </w:rPr>
                <w:t>regulations</w:t>
              </w:r>
            </w:hyperlink>
            <w:r>
              <w:rPr>
                <w:lang w:val="en"/>
              </w:rPr>
              <w:t xml:space="preserve">, </w:t>
            </w:r>
            <w:hyperlink r:id="rId13" w:tooltip="Directive (European Union)" w:history="1">
              <w:r>
                <w:rPr>
                  <w:rStyle w:val="Hyperlink"/>
                  <w:lang w:val="en"/>
                </w:rPr>
                <w:t>directives</w:t>
              </w:r>
            </w:hyperlink>
            <w:r>
              <w:rPr>
                <w:lang w:val="en"/>
              </w:rPr>
              <w:t xml:space="preserve"> and </w:t>
            </w:r>
            <w:hyperlink r:id="rId14" w:tooltip="Decision (European Union)" w:history="1">
              <w:r>
                <w:rPr>
                  <w:rStyle w:val="Hyperlink"/>
                  <w:lang w:val="en"/>
                </w:rPr>
                <w:t>decisions</w:t>
              </w:r>
            </w:hyperlink>
            <w:r>
              <w:rPr>
                <w:lang w:val="en"/>
              </w:rPr>
              <w:t>, in that they are not binding for Member States. Though without legal force, they do have a political weight. The Recommendation is an instrument of indirect action aiming at preparation of legislation in Member States, differing from the Directive only by the absence of obligatory power.”</w:t>
            </w:r>
          </w:p>
          <w:p w:rsidR="005C1C28" w:rsidRDefault="005D2A7F" w:rsidP="009B5B78">
            <w:pPr>
              <w:rPr>
                <w:sz w:val="20"/>
                <w:szCs w:val="20"/>
                <w:lang w:val="en-GB"/>
              </w:rPr>
            </w:pPr>
            <w:r>
              <w:rPr>
                <w:sz w:val="20"/>
                <w:szCs w:val="20"/>
                <w:lang w:val="en-GB"/>
              </w:rPr>
              <w:t xml:space="preserve"> </w:t>
            </w:r>
          </w:p>
          <w:p w:rsidR="005C1C28" w:rsidRDefault="005C1C28" w:rsidP="009B5B78">
            <w:pPr>
              <w:rPr>
                <w:lang w:val="en-GB"/>
              </w:rPr>
            </w:pPr>
            <w:proofErr w:type="gramStart"/>
            <w:r w:rsidRPr="005D2A7F">
              <w:rPr>
                <w:lang w:val="en-GB"/>
              </w:rPr>
              <w:t>ME</w:t>
            </w:r>
            <w:proofErr w:type="gramEnd"/>
            <w:r w:rsidRPr="005D2A7F">
              <w:rPr>
                <w:lang w:val="en-GB"/>
              </w:rPr>
              <w:t xml:space="preserve"> raised the issue of MPAs</w:t>
            </w:r>
            <w:r w:rsidR="005D2A7F">
              <w:rPr>
                <w:lang w:val="en-GB"/>
              </w:rPr>
              <w:t xml:space="preserve"> with a focus on shipping. Will the COM accept a pragmatic approach as taken </w:t>
            </w:r>
            <w:r w:rsidR="003A039D">
              <w:rPr>
                <w:lang w:val="en-GB"/>
              </w:rPr>
              <w:t xml:space="preserve">e.g. </w:t>
            </w:r>
            <w:r w:rsidR="005D2A7F">
              <w:rPr>
                <w:lang w:val="en-GB"/>
              </w:rPr>
              <w:t>by the UK</w:t>
            </w:r>
            <w:r w:rsidR="003A039D">
              <w:rPr>
                <w:lang w:val="en-GB"/>
              </w:rPr>
              <w:t>: MSFD contributes to but does not aim to achieve the objectives of the Birds and Habitats Directives</w:t>
            </w:r>
            <w:r w:rsidR="005D2A7F">
              <w:rPr>
                <w:lang w:val="en-GB"/>
              </w:rPr>
              <w:t>? Some MS do not have MPA.</w:t>
            </w:r>
          </w:p>
          <w:p w:rsidR="004016DD" w:rsidRDefault="004016DD" w:rsidP="009B5B78">
            <w:pPr>
              <w:rPr>
                <w:lang w:val="en-GB"/>
              </w:rPr>
            </w:pPr>
          </w:p>
          <w:p w:rsidR="004016DD" w:rsidRDefault="004016DD" w:rsidP="009B5B78">
            <w:pPr>
              <w:rPr>
                <w:lang w:val="en-GB"/>
              </w:rPr>
            </w:pPr>
            <w:r>
              <w:rPr>
                <w:lang w:val="en-GB"/>
              </w:rPr>
              <w:t xml:space="preserve">It was a decided to monitor the MS interpretation but do not comment in writing (we do not want to create problems).  </w:t>
            </w:r>
          </w:p>
          <w:p w:rsidR="005D2A7F" w:rsidRPr="005D2A7F" w:rsidRDefault="005D2A7F" w:rsidP="009B5B78">
            <w:pPr>
              <w:rPr>
                <w:lang w:val="en-GB"/>
              </w:rPr>
            </w:pPr>
            <w:r w:rsidRPr="005D2A7F">
              <w:rPr>
                <w:b/>
                <w:lang w:val="en-GB"/>
              </w:rPr>
              <w:t>Action:</w:t>
            </w:r>
            <w:r>
              <w:rPr>
                <w:lang w:val="en-GB"/>
              </w:rPr>
              <w:t xml:space="preserve"> ME to send comments </w:t>
            </w:r>
            <w:r w:rsidR="004016DD">
              <w:rPr>
                <w:lang w:val="en-GB"/>
              </w:rPr>
              <w:t>for NAVI’s records.</w:t>
            </w:r>
          </w:p>
          <w:p w:rsidR="00A12132" w:rsidRPr="009B5B78" w:rsidRDefault="00A12132" w:rsidP="00E34A8C">
            <w:pPr>
              <w:rPr>
                <w:lang w:val="en-GB"/>
              </w:rPr>
            </w:pPr>
          </w:p>
        </w:tc>
        <w:tc>
          <w:tcPr>
            <w:tcW w:w="1072" w:type="dxa"/>
          </w:tcPr>
          <w:p w:rsidR="00B321D5" w:rsidRDefault="00B321D5" w:rsidP="00232516"/>
          <w:p w:rsidR="00E34A8C" w:rsidRDefault="00E34A8C"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5D2A7F" w:rsidRDefault="005D2A7F" w:rsidP="00232516"/>
          <w:p w:rsidR="004016DD" w:rsidRDefault="004016DD" w:rsidP="00232516"/>
          <w:p w:rsidR="004016DD" w:rsidRDefault="004016DD" w:rsidP="00232516"/>
          <w:p w:rsidR="004016DD" w:rsidRDefault="004016DD" w:rsidP="00232516"/>
          <w:p w:rsidR="003A039D" w:rsidRDefault="003A039D" w:rsidP="00232516"/>
          <w:p w:rsidR="005D2A7F" w:rsidRDefault="005D2A7F" w:rsidP="00232516">
            <w:r>
              <w:t>ME</w:t>
            </w:r>
          </w:p>
        </w:tc>
      </w:tr>
      <w:tr w:rsidR="00B321D5" w:rsidTr="00DF524C">
        <w:tc>
          <w:tcPr>
            <w:tcW w:w="8504" w:type="dxa"/>
          </w:tcPr>
          <w:p w:rsidR="00B321D5" w:rsidRDefault="009B2DE6" w:rsidP="00BE3E49">
            <w:pPr>
              <w:pStyle w:val="Heading1"/>
              <w:outlineLvl w:val="0"/>
            </w:pPr>
            <w:proofErr w:type="gramStart"/>
            <w:r>
              <w:lastRenderedPageBreak/>
              <w:t xml:space="preserve">10  </w:t>
            </w:r>
            <w:r w:rsidR="00BE3E49">
              <w:t>specific</w:t>
            </w:r>
            <w:proofErr w:type="gramEnd"/>
            <w:r w:rsidR="00BE3E49">
              <w:t xml:space="preserve"> topics of interest in 2014</w:t>
            </w:r>
          </w:p>
        </w:tc>
        <w:tc>
          <w:tcPr>
            <w:tcW w:w="1072" w:type="dxa"/>
          </w:tcPr>
          <w:p w:rsidR="00B321D5" w:rsidRDefault="00B321D5" w:rsidP="00232516"/>
        </w:tc>
      </w:tr>
      <w:tr w:rsidR="00B321D5" w:rsidTr="00DF524C">
        <w:tc>
          <w:tcPr>
            <w:tcW w:w="8504" w:type="dxa"/>
          </w:tcPr>
          <w:p w:rsidR="00E34A8C" w:rsidRDefault="00E34A8C" w:rsidP="009B2DE6"/>
          <w:p w:rsidR="00C94B1D" w:rsidRPr="00C94B1D" w:rsidRDefault="00C94B1D" w:rsidP="00C94B1D">
            <w:pPr>
              <w:pStyle w:val="ListParagraph"/>
              <w:numPr>
                <w:ilvl w:val="0"/>
                <w:numId w:val="27"/>
              </w:numPr>
              <w:rPr>
                <w:i/>
                <w:sz w:val="20"/>
                <w:szCs w:val="20"/>
                <w:lang w:val="en-GB"/>
              </w:rPr>
            </w:pPr>
            <w:r w:rsidRPr="00C94B1D">
              <w:rPr>
                <w:b/>
                <w:i/>
                <w:sz w:val="20"/>
                <w:szCs w:val="20"/>
                <w:lang w:val="en-GB"/>
              </w:rPr>
              <w:t>Public consultation</w:t>
            </w:r>
            <w:r w:rsidRPr="00C94B1D">
              <w:rPr>
                <w:i/>
                <w:sz w:val="20"/>
                <w:szCs w:val="20"/>
                <w:lang w:val="en-GB"/>
              </w:rPr>
              <w:t xml:space="preserve"> by MS of their Monitoring Programmes. The UK, Netherlands and Sweden have started their consultation process. Information will be made available on the CEDA website, similarly to 2012 for the initial assessment.</w:t>
            </w:r>
          </w:p>
          <w:p w:rsidR="00C94B1D" w:rsidRPr="00C94B1D" w:rsidRDefault="00C94B1D" w:rsidP="00C94B1D">
            <w:pPr>
              <w:pStyle w:val="ListParagraph"/>
              <w:numPr>
                <w:ilvl w:val="0"/>
                <w:numId w:val="27"/>
              </w:numPr>
              <w:rPr>
                <w:i/>
                <w:sz w:val="20"/>
                <w:szCs w:val="20"/>
                <w:lang w:val="en-GB"/>
              </w:rPr>
            </w:pPr>
            <w:r w:rsidRPr="00C94B1D">
              <w:rPr>
                <w:b/>
                <w:i/>
                <w:sz w:val="20"/>
                <w:szCs w:val="20"/>
                <w:lang w:val="en-GB"/>
              </w:rPr>
              <w:t>Marine Competence Centre</w:t>
            </w:r>
            <w:r w:rsidRPr="00C94B1D">
              <w:rPr>
                <w:i/>
                <w:sz w:val="20"/>
                <w:szCs w:val="20"/>
                <w:lang w:val="en-GB"/>
              </w:rPr>
              <w:t>: The Marine Competence Centre for GES (MCC4GES) will provide expertise in responding to specific scientific, policy related and applied issues, in the context of the MSFD and the broader integrated Marine Policy implementation. The MCC joins several ongoing MSFD support activities under a common framework and facilitates cooperation and information exchange. No expert group for D5 and D7 exists yet.</w:t>
            </w:r>
          </w:p>
          <w:p w:rsidR="00C94B1D" w:rsidRDefault="00C94B1D" w:rsidP="00C94B1D">
            <w:pPr>
              <w:ind w:left="708"/>
              <w:rPr>
                <w:sz w:val="20"/>
                <w:szCs w:val="20"/>
                <w:lang w:val="en-GB"/>
              </w:rPr>
            </w:pPr>
            <w:r w:rsidRPr="00C94B1D">
              <w:rPr>
                <w:i/>
                <w:sz w:val="20"/>
                <w:szCs w:val="20"/>
                <w:lang w:val="en-GB"/>
              </w:rPr>
              <w:t xml:space="preserve">COM is, as yet, not giving stakeholders the opportunity to participate in the relevant expert groups. They want to give experts from the MS the opportunity to tackle these issues first. If this doesn't work, than they might review the process and extend the invitation to independent, non-MS affiliated experts. </w:t>
            </w:r>
          </w:p>
          <w:p w:rsidR="00C94B1D" w:rsidRDefault="00C94B1D" w:rsidP="00C94B1D">
            <w:pPr>
              <w:ind w:left="708"/>
              <w:rPr>
                <w:sz w:val="20"/>
                <w:szCs w:val="20"/>
                <w:lang w:val="en-GB"/>
              </w:rPr>
            </w:pPr>
          </w:p>
          <w:p w:rsidR="00E34A8C" w:rsidRPr="00F449B5" w:rsidRDefault="00F53036" w:rsidP="00F53036">
            <w:pPr>
              <w:ind w:left="708"/>
              <w:rPr>
                <w:lang w:val="en-GB"/>
              </w:rPr>
            </w:pPr>
            <w:r w:rsidRPr="00F449B5">
              <w:rPr>
                <w:lang w:val="en-GB"/>
              </w:rPr>
              <w:t xml:space="preserve">The information provided by </w:t>
            </w:r>
            <w:proofErr w:type="spellStart"/>
            <w:r w:rsidRPr="00F449B5">
              <w:rPr>
                <w:lang w:val="en-GB"/>
              </w:rPr>
              <w:t>NvM</w:t>
            </w:r>
            <w:proofErr w:type="spellEnd"/>
            <w:r w:rsidRPr="00F449B5">
              <w:rPr>
                <w:lang w:val="en-GB"/>
              </w:rPr>
              <w:t xml:space="preserve"> was noted.</w:t>
            </w:r>
          </w:p>
        </w:tc>
        <w:tc>
          <w:tcPr>
            <w:tcW w:w="1072" w:type="dxa"/>
          </w:tcPr>
          <w:p w:rsidR="00B321D5" w:rsidRDefault="00B321D5" w:rsidP="00232516"/>
          <w:p w:rsidR="001A4FD7" w:rsidRDefault="001A4FD7" w:rsidP="00232516"/>
        </w:tc>
      </w:tr>
      <w:tr w:rsidR="00B321D5" w:rsidTr="00DF524C">
        <w:tc>
          <w:tcPr>
            <w:tcW w:w="8504" w:type="dxa"/>
          </w:tcPr>
          <w:p w:rsidR="00B321D5" w:rsidRDefault="009B2DE6" w:rsidP="008D48A7">
            <w:pPr>
              <w:pStyle w:val="Heading1"/>
              <w:outlineLvl w:val="0"/>
            </w:pPr>
            <w:proofErr w:type="gramStart"/>
            <w:r>
              <w:t xml:space="preserve">11  </w:t>
            </w:r>
            <w:r w:rsidR="008D48A7">
              <w:t>secondary</w:t>
            </w:r>
            <w:proofErr w:type="gramEnd"/>
            <w:r w:rsidR="008D48A7">
              <w:t xml:space="preserve"> subjects to discuss</w:t>
            </w:r>
          </w:p>
        </w:tc>
        <w:tc>
          <w:tcPr>
            <w:tcW w:w="1072" w:type="dxa"/>
          </w:tcPr>
          <w:p w:rsidR="00B321D5" w:rsidRDefault="00B321D5" w:rsidP="00232516"/>
        </w:tc>
      </w:tr>
      <w:tr w:rsidR="00B321D5" w:rsidTr="00DF524C">
        <w:tc>
          <w:tcPr>
            <w:tcW w:w="8504" w:type="dxa"/>
          </w:tcPr>
          <w:p w:rsidR="00792527" w:rsidRDefault="00792527" w:rsidP="005E3E02">
            <w:pPr>
              <w:rPr>
                <w:b/>
              </w:rPr>
            </w:pPr>
          </w:p>
          <w:p w:rsidR="00071E39" w:rsidRPr="00071E39" w:rsidRDefault="00071E39" w:rsidP="00071E39">
            <w:pPr>
              <w:rPr>
                <w:lang w:val="en-GB"/>
              </w:rPr>
            </w:pPr>
            <w:r w:rsidRPr="00071E39">
              <w:rPr>
                <w:b/>
                <w:lang w:val="en-GB"/>
              </w:rPr>
              <w:t>Meetings</w:t>
            </w:r>
            <w:r w:rsidRPr="00071E39">
              <w:rPr>
                <w:lang w:val="en-GB"/>
              </w:rPr>
              <w:t>:</w:t>
            </w:r>
          </w:p>
          <w:p w:rsidR="00071E39" w:rsidRPr="005477AD" w:rsidRDefault="00071E39" w:rsidP="00071E39">
            <w:pPr>
              <w:pStyle w:val="ListParagraph"/>
              <w:numPr>
                <w:ilvl w:val="1"/>
                <w:numId w:val="28"/>
              </w:numPr>
              <w:rPr>
                <w:i/>
                <w:sz w:val="20"/>
                <w:szCs w:val="20"/>
                <w:lang w:val="en-GB"/>
              </w:rPr>
            </w:pPr>
            <w:r w:rsidRPr="00071E39">
              <w:rPr>
                <w:b/>
                <w:i/>
                <w:sz w:val="20"/>
                <w:szCs w:val="20"/>
                <w:lang w:val="en-GB"/>
              </w:rPr>
              <w:t xml:space="preserve">CEA/CBA </w:t>
            </w:r>
            <w:r w:rsidRPr="00071E39">
              <w:rPr>
                <w:i/>
                <w:sz w:val="20"/>
                <w:szCs w:val="20"/>
                <w:lang w:val="en-GB"/>
              </w:rPr>
              <w:t>meeting on 1</w:t>
            </w:r>
            <w:r w:rsidRPr="00071E39">
              <w:rPr>
                <w:i/>
                <w:sz w:val="20"/>
                <w:szCs w:val="20"/>
                <w:vertAlign w:val="superscript"/>
                <w:lang w:val="en-GB"/>
              </w:rPr>
              <w:t>st</w:t>
            </w:r>
            <w:r w:rsidRPr="00071E39">
              <w:rPr>
                <w:i/>
                <w:sz w:val="20"/>
                <w:szCs w:val="20"/>
                <w:lang w:val="en-GB"/>
              </w:rPr>
              <w:t xml:space="preserve"> April. The workshop presentations, discussions and further analysis after the workshop will be used for building a guidance document on CEA/CBA for the MSFD (to be produced by summer 2014). This document is not a guidance document, but various (aggregated) approaches are presented together with their advantages and drawbacks. </w:t>
            </w:r>
            <w:r w:rsidRPr="00071E39">
              <w:rPr>
                <w:i/>
                <w:sz w:val="20"/>
                <w:szCs w:val="20"/>
                <w:lang w:val="en-GB"/>
              </w:rPr>
              <w:lastRenderedPageBreak/>
              <w:t xml:space="preserve">Considerable attention will be given to examples (cases) illustrating the steps, outputs and potential remaining uncertainties related to each approach. A summary report of the workshop will be produced and included in Annex II of the </w:t>
            </w:r>
            <w:proofErr w:type="spellStart"/>
            <w:r w:rsidRPr="00071E39">
              <w:rPr>
                <w:i/>
                <w:sz w:val="20"/>
                <w:szCs w:val="20"/>
                <w:lang w:val="en-GB"/>
              </w:rPr>
              <w:t>PoMs</w:t>
            </w:r>
            <w:proofErr w:type="spellEnd"/>
            <w:r w:rsidRPr="00071E39">
              <w:rPr>
                <w:i/>
                <w:sz w:val="20"/>
                <w:szCs w:val="20"/>
                <w:lang w:val="en-GB"/>
              </w:rPr>
              <w:t xml:space="preserve"> Recommendation.</w:t>
            </w:r>
          </w:p>
          <w:p w:rsidR="005477AD" w:rsidRDefault="005477AD" w:rsidP="005477AD">
            <w:pPr>
              <w:pStyle w:val="ListParagraph"/>
              <w:ind w:left="360"/>
              <w:rPr>
                <w:sz w:val="20"/>
                <w:szCs w:val="20"/>
                <w:lang w:val="en-GB"/>
              </w:rPr>
            </w:pPr>
          </w:p>
          <w:p w:rsidR="001E76BA" w:rsidRPr="00F449B5" w:rsidRDefault="005477AD" w:rsidP="005477AD">
            <w:pPr>
              <w:pStyle w:val="ListParagraph"/>
              <w:ind w:left="786"/>
              <w:rPr>
                <w:lang w:val="en-GB"/>
              </w:rPr>
            </w:pPr>
            <w:r w:rsidRPr="00F449B5">
              <w:rPr>
                <w:lang w:val="en-GB"/>
              </w:rPr>
              <w:t>JB informed that the same people are involved from the MS in the WFD Economics WG as in the MSFD WG. On the one hand this is encouraging (lessons lear</w:t>
            </w:r>
            <w:r w:rsidR="00D551FC" w:rsidRPr="00F449B5">
              <w:rPr>
                <w:lang w:val="en-GB"/>
              </w:rPr>
              <w:t>ned)</w:t>
            </w:r>
            <w:r w:rsidRPr="00F449B5">
              <w:rPr>
                <w:lang w:val="en-GB"/>
              </w:rPr>
              <w:t xml:space="preserve">, on the other hand </w:t>
            </w:r>
            <w:r w:rsidR="00D551FC" w:rsidRPr="00F449B5">
              <w:rPr>
                <w:lang w:val="en-GB"/>
              </w:rPr>
              <w:t>it could be a danger as the WFD people are used to think in difference scales.</w:t>
            </w:r>
          </w:p>
          <w:p w:rsidR="001E76BA" w:rsidRPr="00F449B5" w:rsidRDefault="001E76BA" w:rsidP="005477AD">
            <w:pPr>
              <w:pStyle w:val="ListParagraph"/>
              <w:ind w:left="786"/>
              <w:rPr>
                <w:lang w:val="en-GB"/>
              </w:rPr>
            </w:pPr>
          </w:p>
          <w:p w:rsidR="004A735E" w:rsidRDefault="001E76BA" w:rsidP="001E76BA">
            <w:pPr>
              <w:rPr>
                <w:lang w:val="en-GB"/>
              </w:rPr>
            </w:pPr>
            <w:r w:rsidRPr="00F449B5">
              <w:rPr>
                <w:b/>
                <w:lang w:val="en-GB"/>
              </w:rPr>
              <w:t>Action:</w:t>
            </w:r>
            <w:r w:rsidRPr="00F449B5">
              <w:rPr>
                <w:lang w:val="en-GB"/>
              </w:rPr>
              <w:t xml:space="preserve"> JB to keep an eye on the report in the coming WG ESA meeting.</w:t>
            </w:r>
          </w:p>
          <w:p w:rsidR="005477AD" w:rsidRPr="005477AD" w:rsidRDefault="005477AD" w:rsidP="005477AD"/>
          <w:p w:rsidR="00071E39" w:rsidRPr="004A735E" w:rsidRDefault="00071E39" w:rsidP="00071E39">
            <w:pPr>
              <w:pStyle w:val="ListParagraph"/>
              <w:numPr>
                <w:ilvl w:val="1"/>
                <w:numId w:val="28"/>
              </w:numPr>
              <w:rPr>
                <w:i/>
                <w:sz w:val="20"/>
                <w:szCs w:val="20"/>
                <w:lang w:val="en-GB"/>
              </w:rPr>
            </w:pPr>
            <w:r w:rsidRPr="00071E39">
              <w:rPr>
                <w:b/>
                <w:i/>
                <w:sz w:val="20"/>
                <w:szCs w:val="20"/>
                <w:lang w:val="en-GB"/>
              </w:rPr>
              <w:t>WG ESA</w:t>
            </w:r>
            <w:r w:rsidRPr="00071E39">
              <w:rPr>
                <w:i/>
                <w:sz w:val="20"/>
                <w:szCs w:val="20"/>
                <w:lang w:val="en-GB"/>
              </w:rPr>
              <w:t xml:space="preserve"> meeting: no one from NAVI attending, except possible Jan for one day.</w:t>
            </w:r>
          </w:p>
          <w:p w:rsidR="004A735E" w:rsidRDefault="004A735E" w:rsidP="004A735E">
            <w:pPr>
              <w:ind w:left="786"/>
            </w:pPr>
            <w:r>
              <w:t>JB will attend this meeting.</w:t>
            </w:r>
          </w:p>
          <w:p w:rsidR="004A735E" w:rsidRDefault="004A735E" w:rsidP="004A735E">
            <w:pPr>
              <w:ind w:left="786"/>
            </w:pPr>
          </w:p>
          <w:p w:rsidR="004A735E" w:rsidRDefault="004A735E" w:rsidP="004A735E">
            <w:r w:rsidRPr="004A735E">
              <w:rPr>
                <w:b/>
              </w:rPr>
              <w:t>Action:</w:t>
            </w:r>
            <w:r>
              <w:t xml:space="preserve"> JB to clarify the status of the </w:t>
            </w:r>
            <w:proofErr w:type="spellStart"/>
            <w:r>
              <w:t>PoM</w:t>
            </w:r>
            <w:proofErr w:type="spellEnd"/>
            <w:r>
              <w:t xml:space="preserve"> Recommendations document (see above</w:t>
            </w:r>
            <w:r w:rsidR="00F4299D">
              <w:t xml:space="preserve"> under point 9</w:t>
            </w:r>
            <w:r w:rsidR="00A5409D">
              <w:t>) and report back to NAVI.</w:t>
            </w:r>
          </w:p>
          <w:p w:rsidR="004A735E" w:rsidRPr="004A735E" w:rsidRDefault="004A735E" w:rsidP="004A735E">
            <w:pPr>
              <w:ind w:left="786"/>
            </w:pPr>
          </w:p>
          <w:p w:rsidR="00071E39" w:rsidRPr="00656CAF" w:rsidRDefault="00071E39" w:rsidP="00071E39">
            <w:pPr>
              <w:pStyle w:val="ListParagraph"/>
              <w:numPr>
                <w:ilvl w:val="1"/>
                <w:numId w:val="28"/>
              </w:numPr>
              <w:rPr>
                <w:i/>
                <w:sz w:val="20"/>
                <w:szCs w:val="20"/>
                <w:lang w:val="en-GB"/>
              </w:rPr>
            </w:pPr>
            <w:r w:rsidRPr="00071E39">
              <w:rPr>
                <w:b/>
                <w:i/>
                <w:sz w:val="20"/>
                <w:szCs w:val="20"/>
                <w:lang w:val="en-GB"/>
              </w:rPr>
              <w:t>Workshop on underwater noise</w:t>
            </w:r>
            <w:r w:rsidRPr="00071E39">
              <w:rPr>
                <w:i/>
                <w:sz w:val="20"/>
                <w:szCs w:val="20"/>
                <w:lang w:val="en-GB"/>
              </w:rPr>
              <w:t xml:space="preserve"> to be held on 10-11 April for </w:t>
            </w:r>
            <w:r w:rsidR="00656CAF">
              <w:rPr>
                <w:i/>
                <w:sz w:val="20"/>
                <w:szCs w:val="20"/>
                <w:lang w:val="en-GB"/>
              </w:rPr>
              <w:t>experts in Brussels. Frank Thom</w:t>
            </w:r>
            <w:r w:rsidRPr="00071E39">
              <w:rPr>
                <w:i/>
                <w:sz w:val="20"/>
                <w:szCs w:val="20"/>
                <w:lang w:val="en-GB"/>
              </w:rPr>
              <w:t>sen will attend on behalf of CEDA.</w:t>
            </w:r>
          </w:p>
          <w:p w:rsidR="00656CAF" w:rsidRPr="00656CAF" w:rsidRDefault="00656CAF" w:rsidP="00656CAF"/>
          <w:p w:rsidR="00656CAF" w:rsidRDefault="00656CAF" w:rsidP="00656CAF">
            <w:r w:rsidRPr="00656CAF">
              <w:rPr>
                <w:b/>
              </w:rPr>
              <w:t>Action:</w:t>
            </w:r>
            <w:r>
              <w:t xml:space="preserve"> </w:t>
            </w:r>
            <w:proofErr w:type="spellStart"/>
            <w:r>
              <w:t>NvM</w:t>
            </w:r>
            <w:proofErr w:type="spellEnd"/>
            <w:r>
              <w:t xml:space="preserve"> to ask Frank Thomsen to provide a report.</w:t>
            </w:r>
          </w:p>
          <w:p w:rsidR="00656CAF" w:rsidRPr="00656CAF" w:rsidRDefault="00656CAF" w:rsidP="00656CAF"/>
          <w:p w:rsidR="00071E39" w:rsidRPr="00071E39" w:rsidRDefault="00071E39" w:rsidP="00071E39">
            <w:pPr>
              <w:pStyle w:val="ListParagraph"/>
              <w:numPr>
                <w:ilvl w:val="1"/>
                <w:numId w:val="28"/>
              </w:numPr>
              <w:rPr>
                <w:i/>
                <w:sz w:val="20"/>
                <w:szCs w:val="20"/>
                <w:lang w:val="en-GB"/>
              </w:rPr>
            </w:pPr>
            <w:r w:rsidRPr="00071E39">
              <w:rPr>
                <w:b/>
                <w:i/>
                <w:sz w:val="20"/>
                <w:szCs w:val="20"/>
                <w:lang w:val="en-GB"/>
              </w:rPr>
              <w:t>MSCG meeting</w:t>
            </w:r>
            <w:r w:rsidRPr="00071E39">
              <w:rPr>
                <w:i/>
                <w:sz w:val="20"/>
                <w:szCs w:val="20"/>
                <w:lang w:val="en-GB"/>
              </w:rPr>
              <w:t xml:space="preserve"> on 12-13 May in Brussels: Jan will be attending. Noemi will not be able to.</w:t>
            </w:r>
          </w:p>
          <w:p w:rsidR="00071E39" w:rsidRDefault="00071E39" w:rsidP="005E3E02">
            <w:pPr>
              <w:rPr>
                <w:b/>
                <w:lang w:val="en-GB"/>
              </w:rPr>
            </w:pPr>
          </w:p>
          <w:p w:rsidR="0084536C" w:rsidRPr="00071E39" w:rsidRDefault="00656CAF" w:rsidP="00DF524C">
            <w:pPr>
              <w:ind w:left="786"/>
              <w:rPr>
                <w:b/>
                <w:lang w:val="en-GB"/>
              </w:rPr>
            </w:pPr>
            <w:r w:rsidRPr="00656CAF">
              <w:rPr>
                <w:lang w:val="en-GB"/>
              </w:rPr>
              <w:t>JB will attend this meeting.</w:t>
            </w:r>
          </w:p>
        </w:tc>
        <w:tc>
          <w:tcPr>
            <w:tcW w:w="1072" w:type="dxa"/>
          </w:tcPr>
          <w:p w:rsidR="00B321D5" w:rsidRDefault="00B321D5" w:rsidP="00232516"/>
          <w:p w:rsidR="000628DE" w:rsidRDefault="000628DE" w:rsidP="00232516"/>
          <w:p w:rsidR="000628DE" w:rsidRDefault="000628DE" w:rsidP="00232516"/>
          <w:p w:rsidR="001E76BA" w:rsidRDefault="001E76BA" w:rsidP="00232516"/>
          <w:p w:rsidR="001E76BA" w:rsidRDefault="001E76BA" w:rsidP="00232516"/>
          <w:p w:rsidR="001E76BA" w:rsidRDefault="001E76BA" w:rsidP="00232516"/>
          <w:p w:rsidR="001E76BA" w:rsidRDefault="001E76BA" w:rsidP="00232516"/>
          <w:p w:rsidR="001E76BA" w:rsidRDefault="001E76BA" w:rsidP="00232516"/>
          <w:p w:rsidR="001E76BA" w:rsidRDefault="001E76BA" w:rsidP="00232516"/>
          <w:p w:rsidR="001E76BA" w:rsidRDefault="001E76BA" w:rsidP="00232516"/>
          <w:p w:rsidR="001E76BA" w:rsidRDefault="001E76BA" w:rsidP="00232516"/>
          <w:p w:rsidR="001E76BA" w:rsidRDefault="001E76BA" w:rsidP="00232516"/>
          <w:p w:rsidR="009B23E3" w:rsidRDefault="009B23E3" w:rsidP="00232516"/>
          <w:p w:rsidR="001E76BA" w:rsidRDefault="001E76BA" w:rsidP="00232516"/>
          <w:p w:rsidR="001E76BA" w:rsidRDefault="001E76BA" w:rsidP="00232516">
            <w:r>
              <w:t>JB</w:t>
            </w:r>
          </w:p>
          <w:p w:rsidR="000628DE" w:rsidRDefault="000628DE" w:rsidP="00232516"/>
          <w:p w:rsidR="000628DE" w:rsidRDefault="000628DE" w:rsidP="00232516"/>
          <w:p w:rsidR="000628DE" w:rsidRDefault="000628DE" w:rsidP="00232516"/>
          <w:p w:rsidR="004A735E" w:rsidRDefault="004A735E" w:rsidP="00232516"/>
          <w:p w:rsidR="004A735E" w:rsidRDefault="004A735E" w:rsidP="00232516">
            <w:r>
              <w:t>JB</w:t>
            </w:r>
          </w:p>
          <w:p w:rsidR="000628DE" w:rsidRDefault="000628DE" w:rsidP="00232516"/>
          <w:p w:rsidR="000628DE" w:rsidRDefault="000628DE" w:rsidP="00232516"/>
          <w:p w:rsidR="00656CAF" w:rsidRDefault="00656CAF" w:rsidP="00232516"/>
          <w:p w:rsidR="00656CAF" w:rsidRDefault="00656CAF" w:rsidP="00232516"/>
          <w:p w:rsidR="00656CAF" w:rsidRDefault="00656CAF" w:rsidP="00232516"/>
          <w:p w:rsidR="00656CAF" w:rsidRDefault="00656CAF" w:rsidP="00232516">
            <w:proofErr w:type="spellStart"/>
            <w:r>
              <w:t>NvM</w:t>
            </w:r>
            <w:proofErr w:type="spellEnd"/>
          </w:p>
          <w:p w:rsidR="00792527" w:rsidRDefault="00792527" w:rsidP="00232516"/>
        </w:tc>
      </w:tr>
      <w:tr w:rsidR="00B321D5" w:rsidTr="00DF524C">
        <w:tc>
          <w:tcPr>
            <w:tcW w:w="8504" w:type="dxa"/>
          </w:tcPr>
          <w:p w:rsidR="00B321D5" w:rsidRDefault="00DF524C" w:rsidP="00E0336B">
            <w:pPr>
              <w:pStyle w:val="Heading1"/>
              <w:outlineLvl w:val="0"/>
            </w:pPr>
            <w:r>
              <w:lastRenderedPageBreak/>
              <w:t>11 any other business</w:t>
            </w:r>
          </w:p>
        </w:tc>
        <w:tc>
          <w:tcPr>
            <w:tcW w:w="1072" w:type="dxa"/>
          </w:tcPr>
          <w:p w:rsidR="00B321D5" w:rsidRDefault="00B321D5" w:rsidP="00232516"/>
        </w:tc>
      </w:tr>
      <w:tr w:rsidR="00B321D5" w:rsidTr="00DF524C">
        <w:tc>
          <w:tcPr>
            <w:tcW w:w="8504" w:type="dxa"/>
          </w:tcPr>
          <w:p w:rsidR="00602CCF" w:rsidRDefault="00602CCF" w:rsidP="00417B25">
            <w:pPr>
              <w:rPr>
                <w:rStyle w:val="Strong"/>
              </w:rPr>
            </w:pPr>
          </w:p>
          <w:p w:rsidR="00DF524C" w:rsidRDefault="00DF524C" w:rsidP="00417B25">
            <w:pPr>
              <w:rPr>
                <w:rStyle w:val="Strong"/>
                <w:b w:val="0"/>
              </w:rPr>
            </w:pPr>
            <w:r w:rsidRPr="00DF524C">
              <w:rPr>
                <w:rStyle w:val="Strong"/>
                <w:b w:val="0"/>
              </w:rPr>
              <w:t xml:space="preserve">PS informed that </w:t>
            </w:r>
            <w:proofErr w:type="spellStart"/>
            <w:r w:rsidRPr="00DF524C">
              <w:rPr>
                <w:rStyle w:val="Strong"/>
                <w:b w:val="0"/>
              </w:rPr>
              <w:t>EuDA</w:t>
            </w:r>
            <w:proofErr w:type="spellEnd"/>
            <w:r w:rsidRPr="00DF524C">
              <w:rPr>
                <w:rStyle w:val="Strong"/>
                <w:b w:val="0"/>
              </w:rPr>
              <w:t xml:space="preserve"> was considering to organize a workshop on Descriptors and was developing </w:t>
            </w:r>
            <w:r>
              <w:rPr>
                <w:rStyle w:val="Strong"/>
                <w:b w:val="0"/>
              </w:rPr>
              <w:t>the TOR.</w:t>
            </w:r>
          </w:p>
          <w:p w:rsidR="00DF524C" w:rsidRPr="00DF524C" w:rsidRDefault="00DF524C" w:rsidP="00DF524C">
            <w:pPr>
              <w:rPr>
                <w:rStyle w:val="Strong"/>
                <w:b w:val="0"/>
              </w:rPr>
            </w:pPr>
            <w:r w:rsidRPr="00DF524C">
              <w:rPr>
                <w:rStyle w:val="Strong"/>
              </w:rPr>
              <w:t>Action</w:t>
            </w:r>
            <w:r>
              <w:rPr>
                <w:rStyle w:val="Strong"/>
                <w:b w:val="0"/>
              </w:rPr>
              <w:t>: PS to keep NAVI informed about the progress with the TOR.</w:t>
            </w:r>
          </w:p>
        </w:tc>
        <w:tc>
          <w:tcPr>
            <w:tcW w:w="1072" w:type="dxa"/>
          </w:tcPr>
          <w:p w:rsidR="00B20C5B" w:rsidRDefault="00B20C5B" w:rsidP="00DF524C"/>
          <w:p w:rsidR="00DF524C" w:rsidRDefault="00DF524C" w:rsidP="00DF524C"/>
          <w:p w:rsidR="00DF524C" w:rsidRDefault="00DF524C" w:rsidP="00DF524C"/>
          <w:p w:rsidR="00DF524C" w:rsidRDefault="00DF524C" w:rsidP="00DF524C">
            <w:r>
              <w:t>PS</w:t>
            </w:r>
          </w:p>
        </w:tc>
      </w:tr>
      <w:tr w:rsidR="00B321D5" w:rsidTr="00DF524C">
        <w:tc>
          <w:tcPr>
            <w:tcW w:w="8504" w:type="dxa"/>
          </w:tcPr>
          <w:p w:rsidR="00B321D5" w:rsidRDefault="00DF524C" w:rsidP="00E0336B">
            <w:pPr>
              <w:pStyle w:val="Heading1"/>
              <w:outlineLvl w:val="0"/>
            </w:pPr>
            <w:r>
              <w:t>12 next meeting</w:t>
            </w:r>
          </w:p>
        </w:tc>
        <w:tc>
          <w:tcPr>
            <w:tcW w:w="1072" w:type="dxa"/>
          </w:tcPr>
          <w:p w:rsidR="00B321D5" w:rsidRDefault="00B321D5" w:rsidP="00232516"/>
        </w:tc>
      </w:tr>
      <w:tr w:rsidR="00B321D5" w:rsidTr="00DF524C">
        <w:tc>
          <w:tcPr>
            <w:tcW w:w="8504" w:type="dxa"/>
          </w:tcPr>
          <w:p w:rsidR="004D1594" w:rsidRDefault="004D1594" w:rsidP="004D1594"/>
          <w:p w:rsidR="00DF524C" w:rsidRDefault="00DF524C" w:rsidP="004D1594">
            <w:r>
              <w:t xml:space="preserve">The next meeting will take place on 4 November from 09:30 – 12:30 at PIANC HQ in </w:t>
            </w:r>
            <w:proofErr w:type="spellStart"/>
            <w:r>
              <w:t>Brusssels</w:t>
            </w:r>
            <w:proofErr w:type="spellEnd"/>
            <w:r>
              <w:t>.</w:t>
            </w:r>
          </w:p>
        </w:tc>
        <w:tc>
          <w:tcPr>
            <w:tcW w:w="1072" w:type="dxa"/>
          </w:tcPr>
          <w:p w:rsidR="00B321D5" w:rsidRDefault="00B321D5" w:rsidP="00232516"/>
        </w:tc>
      </w:tr>
      <w:tr w:rsidR="0030404D" w:rsidTr="00DF524C">
        <w:tc>
          <w:tcPr>
            <w:tcW w:w="8504" w:type="dxa"/>
          </w:tcPr>
          <w:p w:rsidR="0030404D" w:rsidRPr="00AB5755" w:rsidRDefault="00DF524C" w:rsidP="00510A21">
            <w:pPr>
              <w:pStyle w:val="Heading1"/>
              <w:outlineLvl w:val="0"/>
            </w:pPr>
            <w:r>
              <w:t>13</w:t>
            </w:r>
            <w:r w:rsidR="00510A21">
              <w:t>close</w:t>
            </w:r>
          </w:p>
        </w:tc>
        <w:tc>
          <w:tcPr>
            <w:tcW w:w="1072" w:type="dxa"/>
          </w:tcPr>
          <w:p w:rsidR="0030404D" w:rsidRDefault="0030404D" w:rsidP="00232516"/>
        </w:tc>
      </w:tr>
      <w:tr w:rsidR="0030404D" w:rsidTr="00DF524C">
        <w:tc>
          <w:tcPr>
            <w:tcW w:w="8504" w:type="dxa"/>
          </w:tcPr>
          <w:p w:rsidR="00510A21" w:rsidRDefault="00510A21" w:rsidP="00510A21"/>
          <w:p w:rsidR="0030404D" w:rsidRPr="00AB5755" w:rsidRDefault="00510A21" w:rsidP="00DF524C">
            <w:r>
              <w:t>The Chair thanked all present. The meeting closed at 1</w:t>
            </w:r>
            <w:r w:rsidR="00DF524C">
              <w:t>2</w:t>
            </w:r>
            <w:r>
              <w:t>:</w:t>
            </w:r>
            <w:r w:rsidR="00DF524C">
              <w:t>45</w:t>
            </w:r>
            <w:r>
              <w:t xml:space="preserve"> hours.</w:t>
            </w:r>
          </w:p>
        </w:tc>
        <w:tc>
          <w:tcPr>
            <w:tcW w:w="1072" w:type="dxa"/>
          </w:tcPr>
          <w:p w:rsidR="0030404D" w:rsidRDefault="0030404D" w:rsidP="00232516"/>
        </w:tc>
      </w:tr>
    </w:tbl>
    <w:p w:rsidR="005F58D5" w:rsidRDefault="005F58D5" w:rsidP="00232516"/>
    <w:sectPr w:rsidR="005F58D5" w:rsidSect="00CC430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3E" w:rsidRDefault="00C91A3E" w:rsidP="00232516">
      <w:pPr>
        <w:spacing w:after="0" w:line="240" w:lineRule="auto"/>
      </w:pPr>
      <w:r>
        <w:separator/>
      </w:r>
    </w:p>
  </w:endnote>
  <w:endnote w:type="continuationSeparator" w:id="0">
    <w:p w:rsidR="00C91A3E" w:rsidRDefault="00C91A3E" w:rsidP="0023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3E" w:rsidRDefault="00C91A3E" w:rsidP="00232516">
      <w:pPr>
        <w:spacing w:after="0" w:line="240" w:lineRule="auto"/>
      </w:pPr>
      <w:r>
        <w:separator/>
      </w:r>
    </w:p>
  </w:footnote>
  <w:footnote w:type="continuationSeparator" w:id="0">
    <w:p w:rsidR="00C91A3E" w:rsidRDefault="00C91A3E" w:rsidP="00232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A6A" w:rsidRPr="00E54969" w:rsidRDefault="00642A6A" w:rsidP="00E54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18F8"/>
    <w:multiLevelType w:val="hybridMultilevel"/>
    <w:tmpl w:val="4BE04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1853D0"/>
    <w:multiLevelType w:val="hybridMultilevel"/>
    <w:tmpl w:val="21CAA510"/>
    <w:lvl w:ilvl="0" w:tplc="E6C6C13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82485"/>
    <w:multiLevelType w:val="hybridMultilevel"/>
    <w:tmpl w:val="4AE8077A"/>
    <w:lvl w:ilvl="0" w:tplc="00000001">
      <w:start w:val="1"/>
      <w:numFmt w:val="decimal"/>
      <w:lvlText w:val="%1."/>
      <w:lvlJc w:val="left"/>
      <w:pPr>
        <w:ind w:left="360" w:hanging="360"/>
      </w:pPr>
    </w:lvl>
    <w:lvl w:ilvl="1" w:tplc="04090019">
      <w:start w:val="1"/>
      <w:numFmt w:val="lowerLetter"/>
      <w:lvlText w:val="%2."/>
      <w:lvlJc w:val="left"/>
      <w:pPr>
        <w:ind w:left="786" w:hanging="360"/>
      </w:pPr>
    </w:lvl>
    <w:lvl w:ilvl="2" w:tplc="0409001B">
      <w:start w:val="1"/>
      <w:numFmt w:val="lowerRoman"/>
      <w:lvlText w:val="%3."/>
      <w:lvlJc w:val="right"/>
      <w:pPr>
        <w:ind w:left="1173"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D05947"/>
    <w:multiLevelType w:val="hybridMultilevel"/>
    <w:tmpl w:val="E00E33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C76649"/>
    <w:multiLevelType w:val="hybridMultilevel"/>
    <w:tmpl w:val="B5EE0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B52F23"/>
    <w:multiLevelType w:val="hybridMultilevel"/>
    <w:tmpl w:val="019A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7D54E9"/>
    <w:multiLevelType w:val="hybridMultilevel"/>
    <w:tmpl w:val="50124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956142"/>
    <w:multiLevelType w:val="hybridMultilevel"/>
    <w:tmpl w:val="A0E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16CFE"/>
    <w:multiLevelType w:val="hybridMultilevel"/>
    <w:tmpl w:val="40F452B6"/>
    <w:lvl w:ilvl="0" w:tplc="04130001">
      <w:start w:val="1"/>
      <w:numFmt w:val="bullet"/>
      <w:lvlText w:val=""/>
      <w:lvlJc w:val="left"/>
      <w:pPr>
        <w:ind w:left="1176" w:hanging="360"/>
      </w:pPr>
      <w:rPr>
        <w:rFonts w:ascii="Symbol" w:hAnsi="Symbol" w:hint="default"/>
      </w:rPr>
    </w:lvl>
    <w:lvl w:ilvl="1" w:tplc="04130003" w:tentative="1">
      <w:start w:val="1"/>
      <w:numFmt w:val="bullet"/>
      <w:lvlText w:val="o"/>
      <w:lvlJc w:val="left"/>
      <w:pPr>
        <w:ind w:left="1896" w:hanging="360"/>
      </w:pPr>
      <w:rPr>
        <w:rFonts w:ascii="Courier New" w:hAnsi="Courier New" w:cs="Courier New" w:hint="default"/>
      </w:rPr>
    </w:lvl>
    <w:lvl w:ilvl="2" w:tplc="04130005" w:tentative="1">
      <w:start w:val="1"/>
      <w:numFmt w:val="bullet"/>
      <w:lvlText w:val=""/>
      <w:lvlJc w:val="left"/>
      <w:pPr>
        <w:ind w:left="2616" w:hanging="360"/>
      </w:pPr>
      <w:rPr>
        <w:rFonts w:ascii="Wingdings" w:hAnsi="Wingdings" w:hint="default"/>
      </w:rPr>
    </w:lvl>
    <w:lvl w:ilvl="3" w:tplc="04130001" w:tentative="1">
      <w:start w:val="1"/>
      <w:numFmt w:val="bullet"/>
      <w:lvlText w:val=""/>
      <w:lvlJc w:val="left"/>
      <w:pPr>
        <w:ind w:left="3336" w:hanging="360"/>
      </w:pPr>
      <w:rPr>
        <w:rFonts w:ascii="Symbol" w:hAnsi="Symbol" w:hint="default"/>
      </w:rPr>
    </w:lvl>
    <w:lvl w:ilvl="4" w:tplc="04130003" w:tentative="1">
      <w:start w:val="1"/>
      <w:numFmt w:val="bullet"/>
      <w:lvlText w:val="o"/>
      <w:lvlJc w:val="left"/>
      <w:pPr>
        <w:ind w:left="4056" w:hanging="360"/>
      </w:pPr>
      <w:rPr>
        <w:rFonts w:ascii="Courier New" w:hAnsi="Courier New" w:cs="Courier New" w:hint="default"/>
      </w:rPr>
    </w:lvl>
    <w:lvl w:ilvl="5" w:tplc="04130005" w:tentative="1">
      <w:start w:val="1"/>
      <w:numFmt w:val="bullet"/>
      <w:lvlText w:val=""/>
      <w:lvlJc w:val="left"/>
      <w:pPr>
        <w:ind w:left="4776" w:hanging="360"/>
      </w:pPr>
      <w:rPr>
        <w:rFonts w:ascii="Wingdings" w:hAnsi="Wingdings" w:hint="default"/>
      </w:rPr>
    </w:lvl>
    <w:lvl w:ilvl="6" w:tplc="04130001" w:tentative="1">
      <w:start w:val="1"/>
      <w:numFmt w:val="bullet"/>
      <w:lvlText w:val=""/>
      <w:lvlJc w:val="left"/>
      <w:pPr>
        <w:ind w:left="5496" w:hanging="360"/>
      </w:pPr>
      <w:rPr>
        <w:rFonts w:ascii="Symbol" w:hAnsi="Symbol" w:hint="default"/>
      </w:rPr>
    </w:lvl>
    <w:lvl w:ilvl="7" w:tplc="04130003" w:tentative="1">
      <w:start w:val="1"/>
      <w:numFmt w:val="bullet"/>
      <w:lvlText w:val="o"/>
      <w:lvlJc w:val="left"/>
      <w:pPr>
        <w:ind w:left="6216" w:hanging="360"/>
      </w:pPr>
      <w:rPr>
        <w:rFonts w:ascii="Courier New" w:hAnsi="Courier New" w:cs="Courier New" w:hint="default"/>
      </w:rPr>
    </w:lvl>
    <w:lvl w:ilvl="8" w:tplc="04130005" w:tentative="1">
      <w:start w:val="1"/>
      <w:numFmt w:val="bullet"/>
      <w:lvlText w:val=""/>
      <w:lvlJc w:val="left"/>
      <w:pPr>
        <w:ind w:left="6936" w:hanging="360"/>
      </w:pPr>
      <w:rPr>
        <w:rFonts w:ascii="Wingdings" w:hAnsi="Wingdings" w:hint="default"/>
      </w:rPr>
    </w:lvl>
  </w:abstractNum>
  <w:abstractNum w:abstractNumId="9">
    <w:nsid w:val="39287FE7"/>
    <w:multiLevelType w:val="hybridMultilevel"/>
    <w:tmpl w:val="514E9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D870BD"/>
    <w:multiLevelType w:val="hybridMultilevel"/>
    <w:tmpl w:val="CF1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5535E"/>
    <w:multiLevelType w:val="hybridMultilevel"/>
    <w:tmpl w:val="6086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92E20"/>
    <w:multiLevelType w:val="hybridMultilevel"/>
    <w:tmpl w:val="8D020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45277B"/>
    <w:multiLevelType w:val="hybridMultilevel"/>
    <w:tmpl w:val="188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875A9"/>
    <w:multiLevelType w:val="hybridMultilevel"/>
    <w:tmpl w:val="4C28FCA4"/>
    <w:lvl w:ilvl="0" w:tplc="00000001">
      <w:start w:val="1"/>
      <w:numFmt w:val="decimal"/>
      <w:lvlText w:val="%1."/>
      <w:lvlJc w:val="left"/>
      <w:pPr>
        <w:ind w:left="360" w:hanging="360"/>
      </w:pPr>
    </w:lvl>
    <w:lvl w:ilvl="1" w:tplc="0413001B">
      <w:start w:val="1"/>
      <w:numFmt w:val="lowerRoman"/>
      <w:lvlText w:val="%2."/>
      <w:lvlJc w:val="right"/>
      <w:pPr>
        <w:ind w:left="786" w:hanging="360"/>
      </w:pPr>
    </w:lvl>
    <w:lvl w:ilvl="2" w:tplc="0409001B">
      <w:start w:val="1"/>
      <w:numFmt w:val="lowerRoman"/>
      <w:lvlText w:val="%3."/>
      <w:lvlJc w:val="right"/>
      <w:pPr>
        <w:ind w:left="1173"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3F0585"/>
    <w:multiLevelType w:val="hybridMultilevel"/>
    <w:tmpl w:val="F4C00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4461AE"/>
    <w:multiLevelType w:val="hybridMultilevel"/>
    <w:tmpl w:val="0F86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01B66"/>
    <w:multiLevelType w:val="hybridMultilevel"/>
    <w:tmpl w:val="7F9E4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7265F1"/>
    <w:multiLevelType w:val="hybridMultilevel"/>
    <w:tmpl w:val="5084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657AB"/>
    <w:multiLevelType w:val="hybridMultilevel"/>
    <w:tmpl w:val="25CC8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10C5673"/>
    <w:multiLevelType w:val="hybridMultilevel"/>
    <w:tmpl w:val="68B69FD8"/>
    <w:lvl w:ilvl="0" w:tplc="FE9AEAF6">
      <w:start w:val="5"/>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5D6B87"/>
    <w:multiLevelType w:val="hybridMultilevel"/>
    <w:tmpl w:val="AAC6E670"/>
    <w:lvl w:ilvl="0" w:tplc="04130001">
      <w:start w:val="1"/>
      <w:numFmt w:val="bullet"/>
      <w:lvlText w:val=""/>
      <w:lvlJc w:val="left"/>
      <w:pPr>
        <w:ind w:left="832" w:hanging="360"/>
      </w:pPr>
      <w:rPr>
        <w:rFonts w:ascii="Symbol" w:hAnsi="Symbol" w:hint="default"/>
      </w:rPr>
    </w:lvl>
    <w:lvl w:ilvl="1" w:tplc="04130003" w:tentative="1">
      <w:start w:val="1"/>
      <w:numFmt w:val="bullet"/>
      <w:lvlText w:val="o"/>
      <w:lvlJc w:val="left"/>
      <w:pPr>
        <w:ind w:left="1552" w:hanging="360"/>
      </w:pPr>
      <w:rPr>
        <w:rFonts w:ascii="Courier New" w:hAnsi="Courier New" w:cs="Courier New" w:hint="default"/>
      </w:rPr>
    </w:lvl>
    <w:lvl w:ilvl="2" w:tplc="04130005" w:tentative="1">
      <w:start w:val="1"/>
      <w:numFmt w:val="bullet"/>
      <w:lvlText w:val=""/>
      <w:lvlJc w:val="left"/>
      <w:pPr>
        <w:ind w:left="2272" w:hanging="360"/>
      </w:pPr>
      <w:rPr>
        <w:rFonts w:ascii="Wingdings" w:hAnsi="Wingdings" w:hint="default"/>
      </w:rPr>
    </w:lvl>
    <w:lvl w:ilvl="3" w:tplc="04130001" w:tentative="1">
      <w:start w:val="1"/>
      <w:numFmt w:val="bullet"/>
      <w:lvlText w:val=""/>
      <w:lvlJc w:val="left"/>
      <w:pPr>
        <w:ind w:left="2992" w:hanging="360"/>
      </w:pPr>
      <w:rPr>
        <w:rFonts w:ascii="Symbol" w:hAnsi="Symbol" w:hint="default"/>
      </w:rPr>
    </w:lvl>
    <w:lvl w:ilvl="4" w:tplc="04130003" w:tentative="1">
      <w:start w:val="1"/>
      <w:numFmt w:val="bullet"/>
      <w:lvlText w:val="o"/>
      <w:lvlJc w:val="left"/>
      <w:pPr>
        <w:ind w:left="3712" w:hanging="360"/>
      </w:pPr>
      <w:rPr>
        <w:rFonts w:ascii="Courier New" w:hAnsi="Courier New" w:cs="Courier New" w:hint="default"/>
      </w:rPr>
    </w:lvl>
    <w:lvl w:ilvl="5" w:tplc="04130005" w:tentative="1">
      <w:start w:val="1"/>
      <w:numFmt w:val="bullet"/>
      <w:lvlText w:val=""/>
      <w:lvlJc w:val="left"/>
      <w:pPr>
        <w:ind w:left="4432" w:hanging="360"/>
      </w:pPr>
      <w:rPr>
        <w:rFonts w:ascii="Wingdings" w:hAnsi="Wingdings" w:hint="default"/>
      </w:rPr>
    </w:lvl>
    <w:lvl w:ilvl="6" w:tplc="04130001" w:tentative="1">
      <w:start w:val="1"/>
      <w:numFmt w:val="bullet"/>
      <w:lvlText w:val=""/>
      <w:lvlJc w:val="left"/>
      <w:pPr>
        <w:ind w:left="5152" w:hanging="360"/>
      </w:pPr>
      <w:rPr>
        <w:rFonts w:ascii="Symbol" w:hAnsi="Symbol" w:hint="default"/>
      </w:rPr>
    </w:lvl>
    <w:lvl w:ilvl="7" w:tplc="04130003" w:tentative="1">
      <w:start w:val="1"/>
      <w:numFmt w:val="bullet"/>
      <w:lvlText w:val="o"/>
      <w:lvlJc w:val="left"/>
      <w:pPr>
        <w:ind w:left="5872" w:hanging="360"/>
      </w:pPr>
      <w:rPr>
        <w:rFonts w:ascii="Courier New" w:hAnsi="Courier New" w:cs="Courier New" w:hint="default"/>
      </w:rPr>
    </w:lvl>
    <w:lvl w:ilvl="8" w:tplc="04130005" w:tentative="1">
      <w:start w:val="1"/>
      <w:numFmt w:val="bullet"/>
      <w:lvlText w:val=""/>
      <w:lvlJc w:val="left"/>
      <w:pPr>
        <w:ind w:left="6592" w:hanging="360"/>
      </w:pPr>
      <w:rPr>
        <w:rFonts w:ascii="Wingdings" w:hAnsi="Wingdings" w:hint="default"/>
      </w:rPr>
    </w:lvl>
  </w:abstractNum>
  <w:abstractNum w:abstractNumId="22">
    <w:nsid w:val="625D637A"/>
    <w:multiLevelType w:val="hybridMultilevel"/>
    <w:tmpl w:val="F2AE95C8"/>
    <w:lvl w:ilvl="0" w:tplc="04090019">
      <w:start w:val="1"/>
      <w:numFmt w:val="lowerLetter"/>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C960EA7"/>
    <w:multiLevelType w:val="hybridMultilevel"/>
    <w:tmpl w:val="78CA6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15C19C3"/>
    <w:multiLevelType w:val="hybridMultilevel"/>
    <w:tmpl w:val="814A6318"/>
    <w:lvl w:ilvl="0" w:tplc="FE9AEAF6">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60E5838"/>
    <w:multiLevelType w:val="hybridMultilevel"/>
    <w:tmpl w:val="3A58D49A"/>
    <w:lvl w:ilvl="0" w:tplc="8AB6E2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694400"/>
    <w:multiLevelType w:val="hybridMultilevel"/>
    <w:tmpl w:val="D0B4375E"/>
    <w:lvl w:ilvl="0" w:tplc="ECB44478">
      <w:start w:val="1"/>
      <w:numFmt w:val="lowerLetter"/>
      <w:lvlText w:val="%1."/>
      <w:lvlJc w:val="left"/>
      <w:pPr>
        <w:ind w:left="720"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53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11"/>
  </w:num>
  <w:num w:numId="5">
    <w:abstractNumId w:val="7"/>
  </w:num>
  <w:num w:numId="6">
    <w:abstractNumId w:val="13"/>
  </w:num>
  <w:num w:numId="7">
    <w:abstractNumId w:val="12"/>
  </w:num>
  <w:num w:numId="8">
    <w:abstractNumId w:val="15"/>
  </w:num>
  <w:num w:numId="9">
    <w:abstractNumId w:val="19"/>
  </w:num>
  <w:num w:numId="10">
    <w:abstractNumId w:val="9"/>
  </w:num>
  <w:num w:numId="11">
    <w:abstractNumId w:val="8"/>
  </w:num>
  <w:num w:numId="12">
    <w:abstractNumId w:val="17"/>
  </w:num>
  <w:num w:numId="13">
    <w:abstractNumId w:val="21"/>
  </w:num>
  <w:num w:numId="14">
    <w:abstractNumId w:val="5"/>
  </w:num>
  <w:num w:numId="15">
    <w:abstractNumId w:val="23"/>
  </w:num>
  <w:num w:numId="16">
    <w:abstractNumId w:val="3"/>
  </w:num>
  <w:num w:numId="17">
    <w:abstractNumId w:val="4"/>
  </w:num>
  <w:num w:numId="18">
    <w:abstractNumId w:val="6"/>
  </w:num>
  <w:num w:numId="19">
    <w:abstractNumId w:val="0"/>
  </w:num>
  <w:num w:numId="20">
    <w:abstractNumId w:val="24"/>
  </w:num>
  <w:num w:numId="21">
    <w:abstractNumId w:val="20"/>
  </w:num>
  <w:num w:numId="22">
    <w:abstractNumId w:val="2"/>
  </w:num>
  <w:num w:numId="23">
    <w:abstractNumId w:val="1"/>
  </w:num>
  <w:num w:numId="24">
    <w:abstractNumId w:val="25"/>
  </w:num>
  <w:num w:numId="25">
    <w:abstractNumId w:val="2"/>
    <w:lvlOverride w:ilvl="0">
      <w:lvl w:ilvl="0" w:tplc="00000001">
        <w:start w:val="1"/>
        <w:numFmt w:val="lowerLetter"/>
        <w:lvlText w:val="%1."/>
        <w:lvlJc w:val="left"/>
        <w:pPr>
          <w:ind w:left="786"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6"/>
  </w:num>
  <w:num w:numId="27">
    <w:abstractNumId w:val="22"/>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81"/>
    <w:rsid w:val="00041290"/>
    <w:rsid w:val="000529A8"/>
    <w:rsid w:val="00055CA3"/>
    <w:rsid w:val="00057AB2"/>
    <w:rsid w:val="000628DE"/>
    <w:rsid w:val="0006335C"/>
    <w:rsid w:val="00071E39"/>
    <w:rsid w:val="000B1AAA"/>
    <w:rsid w:val="000B1D7D"/>
    <w:rsid w:val="000C2A75"/>
    <w:rsid w:val="000C5ABB"/>
    <w:rsid w:val="000D7DA8"/>
    <w:rsid w:val="000E1BF0"/>
    <w:rsid w:val="000E72F0"/>
    <w:rsid w:val="00111E56"/>
    <w:rsid w:val="001221BF"/>
    <w:rsid w:val="00134B78"/>
    <w:rsid w:val="00141101"/>
    <w:rsid w:val="001418B1"/>
    <w:rsid w:val="00145B4A"/>
    <w:rsid w:val="00147C77"/>
    <w:rsid w:val="00177F3E"/>
    <w:rsid w:val="001877AD"/>
    <w:rsid w:val="00195386"/>
    <w:rsid w:val="00197C82"/>
    <w:rsid w:val="001A4FD7"/>
    <w:rsid w:val="001A605F"/>
    <w:rsid w:val="001B0D81"/>
    <w:rsid w:val="001C4983"/>
    <w:rsid w:val="001E0D0B"/>
    <w:rsid w:val="001E76BA"/>
    <w:rsid w:val="002163AB"/>
    <w:rsid w:val="00220462"/>
    <w:rsid w:val="00232516"/>
    <w:rsid w:val="0024128E"/>
    <w:rsid w:val="00250333"/>
    <w:rsid w:val="0026028B"/>
    <w:rsid w:val="00272402"/>
    <w:rsid w:val="002728FE"/>
    <w:rsid w:val="00282A7B"/>
    <w:rsid w:val="002833CC"/>
    <w:rsid w:val="002A69A0"/>
    <w:rsid w:val="002B65B6"/>
    <w:rsid w:val="002C313B"/>
    <w:rsid w:val="002D686B"/>
    <w:rsid w:val="00303134"/>
    <w:rsid w:val="0030404D"/>
    <w:rsid w:val="00310E55"/>
    <w:rsid w:val="00322DDA"/>
    <w:rsid w:val="003421B7"/>
    <w:rsid w:val="003557EF"/>
    <w:rsid w:val="0035580B"/>
    <w:rsid w:val="0037339F"/>
    <w:rsid w:val="00383AA5"/>
    <w:rsid w:val="003A039D"/>
    <w:rsid w:val="003A1415"/>
    <w:rsid w:val="003B03FD"/>
    <w:rsid w:val="003C329D"/>
    <w:rsid w:val="003C5D59"/>
    <w:rsid w:val="003C5EC0"/>
    <w:rsid w:val="003E0E4E"/>
    <w:rsid w:val="003F78C5"/>
    <w:rsid w:val="004016DD"/>
    <w:rsid w:val="0041314E"/>
    <w:rsid w:val="00417B25"/>
    <w:rsid w:val="00421766"/>
    <w:rsid w:val="004223F7"/>
    <w:rsid w:val="00443DD4"/>
    <w:rsid w:val="004565E6"/>
    <w:rsid w:val="00464615"/>
    <w:rsid w:val="004802BA"/>
    <w:rsid w:val="00483ED7"/>
    <w:rsid w:val="004A48D7"/>
    <w:rsid w:val="004A735E"/>
    <w:rsid w:val="004B285B"/>
    <w:rsid w:val="004B38F7"/>
    <w:rsid w:val="004B5062"/>
    <w:rsid w:val="004B6C0C"/>
    <w:rsid w:val="004D1594"/>
    <w:rsid w:val="004E6978"/>
    <w:rsid w:val="00503D09"/>
    <w:rsid w:val="00510A21"/>
    <w:rsid w:val="00530196"/>
    <w:rsid w:val="00543A4C"/>
    <w:rsid w:val="005477AD"/>
    <w:rsid w:val="00554C60"/>
    <w:rsid w:val="00556197"/>
    <w:rsid w:val="00595D60"/>
    <w:rsid w:val="00596C01"/>
    <w:rsid w:val="005C005D"/>
    <w:rsid w:val="005C1B42"/>
    <w:rsid w:val="005C1C28"/>
    <w:rsid w:val="005D0660"/>
    <w:rsid w:val="005D13B4"/>
    <w:rsid w:val="005D2A7F"/>
    <w:rsid w:val="005E3E02"/>
    <w:rsid w:val="005F58D5"/>
    <w:rsid w:val="00602CCF"/>
    <w:rsid w:val="00622275"/>
    <w:rsid w:val="00642A6A"/>
    <w:rsid w:val="00651E16"/>
    <w:rsid w:val="00652581"/>
    <w:rsid w:val="00656CAF"/>
    <w:rsid w:val="006710CD"/>
    <w:rsid w:val="00674D90"/>
    <w:rsid w:val="00675E96"/>
    <w:rsid w:val="006820E2"/>
    <w:rsid w:val="0068661A"/>
    <w:rsid w:val="00695FA5"/>
    <w:rsid w:val="00696471"/>
    <w:rsid w:val="006A74A2"/>
    <w:rsid w:val="006D7A6C"/>
    <w:rsid w:val="006E1B07"/>
    <w:rsid w:val="006E20FF"/>
    <w:rsid w:val="006F4A59"/>
    <w:rsid w:val="0074776E"/>
    <w:rsid w:val="007763F4"/>
    <w:rsid w:val="00780492"/>
    <w:rsid w:val="00792527"/>
    <w:rsid w:val="007A563F"/>
    <w:rsid w:val="007B05E4"/>
    <w:rsid w:val="007C6744"/>
    <w:rsid w:val="007D61F2"/>
    <w:rsid w:val="00803ED8"/>
    <w:rsid w:val="008204A9"/>
    <w:rsid w:val="00824BF6"/>
    <w:rsid w:val="0082738E"/>
    <w:rsid w:val="00830781"/>
    <w:rsid w:val="0083428B"/>
    <w:rsid w:val="00840917"/>
    <w:rsid w:val="0084535A"/>
    <w:rsid w:val="0084536C"/>
    <w:rsid w:val="00847506"/>
    <w:rsid w:val="0086011F"/>
    <w:rsid w:val="00876273"/>
    <w:rsid w:val="00882B84"/>
    <w:rsid w:val="008A3AB3"/>
    <w:rsid w:val="008B1086"/>
    <w:rsid w:val="008D0B13"/>
    <w:rsid w:val="008D39D2"/>
    <w:rsid w:val="008D3BFD"/>
    <w:rsid w:val="008D48A7"/>
    <w:rsid w:val="00906F96"/>
    <w:rsid w:val="00914CB4"/>
    <w:rsid w:val="00915E05"/>
    <w:rsid w:val="0091729E"/>
    <w:rsid w:val="009452DF"/>
    <w:rsid w:val="00964678"/>
    <w:rsid w:val="00980507"/>
    <w:rsid w:val="009864E6"/>
    <w:rsid w:val="009A08CE"/>
    <w:rsid w:val="009B23E3"/>
    <w:rsid w:val="009B2DE6"/>
    <w:rsid w:val="009B5B78"/>
    <w:rsid w:val="009C630A"/>
    <w:rsid w:val="009D4DE5"/>
    <w:rsid w:val="009D6E1A"/>
    <w:rsid w:val="00A051C6"/>
    <w:rsid w:val="00A0626C"/>
    <w:rsid w:val="00A12132"/>
    <w:rsid w:val="00A16F27"/>
    <w:rsid w:val="00A33202"/>
    <w:rsid w:val="00A40E54"/>
    <w:rsid w:val="00A50F3B"/>
    <w:rsid w:val="00A5409D"/>
    <w:rsid w:val="00A619D3"/>
    <w:rsid w:val="00A64FA1"/>
    <w:rsid w:val="00A72A92"/>
    <w:rsid w:val="00A758DD"/>
    <w:rsid w:val="00A849D1"/>
    <w:rsid w:val="00AC0E69"/>
    <w:rsid w:val="00AE418C"/>
    <w:rsid w:val="00B202A6"/>
    <w:rsid w:val="00B20C5B"/>
    <w:rsid w:val="00B321D5"/>
    <w:rsid w:val="00B41B57"/>
    <w:rsid w:val="00B47F0F"/>
    <w:rsid w:val="00B53EDB"/>
    <w:rsid w:val="00B81AD4"/>
    <w:rsid w:val="00B873BF"/>
    <w:rsid w:val="00BB1844"/>
    <w:rsid w:val="00BE37B3"/>
    <w:rsid w:val="00BE3E49"/>
    <w:rsid w:val="00BE4E9E"/>
    <w:rsid w:val="00BF5B28"/>
    <w:rsid w:val="00C06C42"/>
    <w:rsid w:val="00C7412A"/>
    <w:rsid w:val="00C7799B"/>
    <w:rsid w:val="00C91A3E"/>
    <w:rsid w:val="00C93713"/>
    <w:rsid w:val="00C94B1D"/>
    <w:rsid w:val="00CA3670"/>
    <w:rsid w:val="00CC4309"/>
    <w:rsid w:val="00CC59B1"/>
    <w:rsid w:val="00CE7DDB"/>
    <w:rsid w:val="00D11E6B"/>
    <w:rsid w:val="00D246BD"/>
    <w:rsid w:val="00D258C7"/>
    <w:rsid w:val="00D42E17"/>
    <w:rsid w:val="00D437A9"/>
    <w:rsid w:val="00D551FC"/>
    <w:rsid w:val="00D71536"/>
    <w:rsid w:val="00D74B83"/>
    <w:rsid w:val="00D90E8A"/>
    <w:rsid w:val="00DB2C8B"/>
    <w:rsid w:val="00DC0CF0"/>
    <w:rsid w:val="00DC4BE1"/>
    <w:rsid w:val="00DF524C"/>
    <w:rsid w:val="00E0336B"/>
    <w:rsid w:val="00E34A8C"/>
    <w:rsid w:val="00E3782A"/>
    <w:rsid w:val="00E47581"/>
    <w:rsid w:val="00E50701"/>
    <w:rsid w:val="00E54969"/>
    <w:rsid w:val="00E733ED"/>
    <w:rsid w:val="00E83100"/>
    <w:rsid w:val="00EA0101"/>
    <w:rsid w:val="00EF3060"/>
    <w:rsid w:val="00EF661A"/>
    <w:rsid w:val="00F4299D"/>
    <w:rsid w:val="00F449B5"/>
    <w:rsid w:val="00F5110A"/>
    <w:rsid w:val="00F53036"/>
    <w:rsid w:val="00F546E3"/>
    <w:rsid w:val="00F60634"/>
    <w:rsid w:val="00F71531"/>
    <w:rsid w:val="00F756B0"/>
    <w:rsid w:val="00F90E43"/>
    <w:rsid w:val="00F92EB4"/>
    <w:rsid w:val="00FC32E4"/>
    <w:rsid w:val="00FC5BE4"/>
    <w:rsid w:val="00FC7C9E"/>
    <w:rsid w:val="00FD5F54"/>
    <w:rsid w:val="00FE4340"/>
    <w:rsid w:val="00FF5727"/>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A628EC50-13C2-47CF-AB11-0736CA79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00"/>
  </w:style>
  <w:style w:type="paragraph" w:styleId="Heading1">
    <w:name w:val="heading 1"/>
    <w:basedOn w:val="Normal"/>
    <w:next w:val="Normal"/>
    <w:link w:val="Heading1Char"/>
    <w:uiPriority w:val="9"/>
    <w:qFormat/>
    <w:rsid w:val="001C4983"/>
    <w:pPr>
      <w:keepNext/>
      <w:keepLines/>
      <w:tabs>
        <w:tab w:val="left" w:pos="360"/>
      </w:tabs>
      <w:spacing w:before="320" w:after="40"/>
      <w:ind w:left="360" w:hanging="36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74D90"/>
    <w:pPr>
      <w:keepLines/>
      <w:spacing w:before="120" w:after="0" w:line="24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8310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E8310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8310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8310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8310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8310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8310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16"/>
  </w:style>
  <w:style w:type="paragraph" w:styleId="Footer">
    <w:name w:val="footer"/>
    <w:basedOn w:val="Normal"/>
    <w:link w:val="FooterChar"/>
    <w:uiPriority w:val="99"/>
    <w:unhideWhenUsed/>
    <w:rsid w:val="002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16"/>
  </w:style>
  <w:style w:type="character" w:styleId="PageNumber">
    <w:name w:val="page number"/>
    <w:basedOn w:val="DefaultParagraphFont"/>
    <w:rsid w:val="00232516"/>
  </w:style>
  <w:style w:type="table" w:styleId="TableGrid">
    <w:name w:val="Table Grid"/>
    <w:basedOn w:val="TableNormal"/>
    <w:uiPriority w:val="39"/>
    <w:rsid w:val="00B32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C498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74D9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8310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E8310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8310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8310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83100"/>
    <w:rPr>
      <w:i/>
      <w:iCs/>
    </w:rPr>
  </w:style>
  <w:style w:type="character" w:customStyle="1" w:styleId="Heading8Char">
    <w:name w:val="Heading 8 Char"/>
    <w:basedOn w:val="DefaultParagraphFont"/>
    <w:link w:val="Heading8"/>
    <w:uiPriority w:val="9"/>
    <w:semiHidden/>
    <w:rsid w:val="00E83100"/>
    <w:rPr>
      <w:b/>
      <w:bCs/>
    </w:rPr>
  </w:style>
  <w:style w:type="character" w:customStyle="1" w:styleId="Heading9Char">
    <w:name w:val="Heading 9 Char"/>
    <w:basedOn w:val="DefaultParagraphFont"/>
    <w:link w:val="Heading9"/>
    <w:uiPriority w:val="9"/>
    <w:semiHidden/>
    <w:rsid w:val="00E83100"/>
    <w:rPr>
      <w:i/>
      <w:iCs/>
    </w:rPr>
  </w:style>
  <w:style w:type="paragraph" w:styleId="Caption">
    <w:name w:val="caption"/>
    <w:basedOn w:val="Normal"/>
    <w:next w:val="Normal"/>
    <w:uiPriority w:val="35"/>
    <w:semiHidden/>
    <w:unhideWhenUsed/>
    <w:qFormat/>
    <w:rsid w:val="00E83100"/>
    <w:rPr>
      <w:b/>
      <w:bCs/>
      <w:sz w:val="18"/>
      <w:szCs w:val="18"/>
    </w:rPr>
  </w:style>
  <w:style w:type="paragraph" w:styleId="Title">
    <w:name w:val="Title"/>
    <w:basedOn w:val="Normal"/>
    <w:next w:val="Normal"/>
    <w:link w:val="TitleChar"/>
    <w:uiPriority w:val="10"/>
    <w:qFormat/>
    <w:rsid w:val="00E8310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8310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8310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3100"/>
    <w:rPr>
      <w:rFonts w:asciiTheme="majorHAnsi" w:eastAsiaTheme="majorEastAsia" w:hAnsiTheme="majorHAnsi" w:cstheme="majorBidi"/>
      <w:sz w:val="24"/>
      <w:szCs w:val="24"/>
    </w:rPr>
  </w:style>
  <w:style w:type="character" w:styleId="Strong">
    <w:name w:val="Strong"/>
    <w:basedOn w:val="DefaultParagraphFont"/>
    <w:uiPriority w:val="22"/>
    <w:qFormat/>
    <w:rsid w:val="00E83100"/>
    <w:rPr>
      <w:b/>
      <w:bCs/>
      <w:color w:val="auto"/>
    </w:rPr>
  </w:style>
  <w:style w:type="character" w:styleId="Emphasis">
    <w:name w:val="Emphasis"/>
    <w:basedOn w:val="DefaultParagraphFont"/>
    <w:uiPriority w:val="20"/>
    <w:qFormat/>
    <w:rsid w:val="00E83100"/>
    <w:rPr>
      <w:i/>
      <w:iCs/>
      <w:color w:val="auto"/>
    </w:rPr>
  </w:style>
  <w:style w:type="paragraph" w:styleId="NoSpacing">
    <w:name w:val="No Spacing"/>
    <w:uiPriority w:val="1"/>
    <w:qFormat/>
    <w:rsid w:val="00E83100"/>
    <w:pPr>
      <w:spacing w:after="0" w:line="240" w:lineRule="auto"/>
    </w:pPr>
  </w:style>
  <w:style w:type="paragraph" w:styleId="Quote">
    <w:name w:val="Quote"/>
    <w:basedOn w:val="Normal"/>
    <w:next w:val="Normal"/>
    <w:link w:val="QuoteChar"/>
    <w:uiPriority w:val="29"/>
    <w:qFormat/>
    <w:rsid w:val="00E8310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8310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8310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8310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83100"/>
    <w:rPr>
      <w:i/>
      <w:iCs/>
      <w:color w:val="auto"/>
    </w:rPr>
  </w:style>
  <w:style w:type="character" w:styleId="IntenseEmphasis">
    <w:name w:val="Intense Emphasis"/>
    <w:basedOn w:val="DefaultParagraphFont"/>
    <w:uiPriority w:val="21"/>
    <w:qFormat/>
    <w:rsid w:val="00E83100"/>
    <w:rPr>
      <w:b/>
      <w:bCs/>
      <w:i/>
      <w:iCs/>
      <w:color w:val="auto"/>
    </w:rPr>
  </w:style>
  <w:style w:type="character" w:styleId="SubtleReference">
    <w:name w:val="Subtle Reference"/>
    <w:basedOn w:val="DefaultParagraphFont"/>
    <w:uiPriority w:val="31"/>
    <w:qFormat/>
    <w:rsid w:val="00E83100"/>
    <w:rPr>
      <w:smallCaps/>
      <w:color w:val="auto"/>
      <w:u w:val="single" w:color="7F7F7F" w:themeColor="text1" w:themeTint="80"/>
    </w:rPr>
  </w:style>
  <w:style w:type="character" w:styleId="IntenseReference">
    <w:name w:val="Intense Reference"/>
    <w:basedOn w:val="DefaultParagraphFont"/>
    <w:uiPriority w:val="32"/>
    <w:qFormat/>
    <w:rsid w:val="00E83100"/>
    <w:rPr>
      <w:b/>
      <w:bCs/>
      <w:smallCaps/>
      <w:color w:val="auto"/>
      <w:u w:val="single"/>
    </w:rPr>
  </w:style>
  <w:style w:type="character" w:styleId="BookTitle">
    <w:name w:val="Book Title"/>
    <w:basedOn w:val="DefaultParagraphFont"/>
    <w:uiPriority w:val="33"/>
    <w:qFormat/>
    <w:rsid w:val="00E83100"/>
    <w:rPr>
      <w:b/>
      <w:bCs/>
      <w:smallCaps/>
      <w:color w:val="auto"/>
    </w:rPr>
  </w:style>
  <w:style w:type="paragraph" w:styleId="TOCHeading">
    <w:name w:val="TOC Heading"/>
    <w:basedOn w:val="Heading1"/>
    <w:next w:val="Normal"/>
    <w:uiPriority w:val="39"/>
    <w:semiHidden/>
    <w:unhideWhenUsed/>
    <w:qFormat/>
    <w:rsid w:val="00E83100"/>
    <w:pPr>
      <w:outlineLvl w:val="9"/>
    </w:pPr>
  </w:style>
  <w:style w:type="paragraph" w:styleId="ListParagraph">
    <w:name w:val="List Paragraph"/>
    <w:basedOn w:val="Normal"/>
    <w:uiPriority w:val="34"/>
    <w:qFormat/>
    <w:rsid w:val="00E83100"/>
    <w:pPr>
      <w:ind w:left="720"/>
      <w:contextualSpacing/>
    </w:pPr>
  </w:style>
  <w:style w:type="paragraph" w:styleId="BalloonText">
    <w:name w:val="Balloon Text"/>
    <w:basedOn w:val="Normal"/>
    <w:link w:val="BalloonTextChar"/>
    <w:uiPriority w:val="99"/>
    <w:semiHidden/>
    <w:unhideWhenUsed/>
    <w:rsid w:val="00E3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8C"/>
    <w:rPr>
      <w:rFonts w:ascii="Tahoma" w:hAnsi="Tahoma" w:cs="Tahoma"/>
      <w:sz w:val="16"/>
      <w:szCs w:val="16"/>
    </w:rPr>
  </w:style>
  <w:style w:type="character" w:styleId="Hyperlink">
    <w:name w:val="Hyperlink"/>
    <w:basedOn w:val="DefaultParagraphFont"/>
    <w:uiPriority w:val="99"/>
    <w:semiHidden/>
    <w:unhideWhenUsed/>
    <w:rsid w:val="005D2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Directive_(European_Un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Regulation_(European_Un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uropean_Union_legislative_proced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Legal_forc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en.wikipedia.org/wiki/Decision_(European_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A3FF-92FC-4F24-9930-68BB9CB4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91</cp:revision>
  <cp:lastPrinted>2013-11-22T15:36:00Z</cp:lastPrinted>
  <dcterms:created xsi:type="dcterms:W3CDTF">2014-04-04T16:22:00Z</dcterms:created>
  <dcterms:modified xsi:type="dcterms:W3CDTF">2014-04-14T09:44:00Z</dcterms:modified>
</cp:coreProperties>
</file>